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CCFDBB" w14:textId="3492D7A1"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 xml:space="preserve">New Professional of the 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2B097552" w14:textId="1B05DBFF" w:rsidR="00B16B0E" w:rsidRPr="00BD6416" w:rsidRDefault="00B16B0E" w:rsidP="00B16B0E">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North West) AWARDS ENTRY F</w:t>
      </w:r>
      <w:r>
        <w:rPr>
          <w:b/>
          <w:bCs/>
          <w:color w:val="DA1243"/>
        </w:rPr>
        <w:t xml:space="preserve">ORM                                                         </w:t>
      </w:r>
      <w:r w:rsidRPr="00BD6416">
        <w:rPr>
          <w:b/>
          <w:bCs/>
          <w:color w:val="DA1243"/>
        </w:rPr>
        <w:t xml:space="preserve">  </w:t>
      </w:r>
    </w:p>
    <w:p w14:paraId="67AD3BFF" w14:textId="77777777" w:rsidR="0032274B" w:rsidRDefault="0032274B" w:rsidP="0032274B">
      <w:pPr>
        <w:pStyle w:val="NoSpacing"/>
        <w:rPr>
          <w:rFonts w:ascii="Calibri" w:hAnsi="Calibri" w:cs="Calibri"/>
          <w:b/>
          <w:bCs/>
          <w:color w:val="7030A0"/>
          <w:sz w:val="28"/>
          <w:szCs w:val="28"/>
        </w:rPr>
      </w:pPr>
    </w:p>
    <w:p w14:paraId="7BE390B5" w14:textId="77777777" w:rsidR="0032274B" w:rsidRDefault="0032274B" w:rsidP="0032274B">
      <w:pPr>
        <w:pStyle w:val="NoSpacing"/>
        <w:rPr>
          <w:rFonts w:ascii="Calibri" w:hAnsi="Calibri" w:cs="Calibri"/>
          <w:b/>
          <w:bCs/>
          <w:color w:val="7030A0"/>
          <w:sz w:val="20"/>
          <w:szCs w:val="20"/>
        </w:rPr>
      </w:pPr>
    </w:p>
    <w:p w14:paraId="64335F3F" w14:textId="77777777" w:rsidR="0032274B" w:rsidRPr="00362948" w:rsidRDefault="0032274B" w:rsidP="0032274B">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7"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North West).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77777777" w:rsidR="00362948" w:rsidRPr="00362948" w:rsidRDefault="00362948" w:rsidP="00362948">
      <w:pPr>
        <w:pStyle w:val="NoSpacing"/>
        <w:rPr>
          <w:rFonts w:ascii="Calibri" w:hAnsi="Calibri" w:cs="Calibri"/>
          <w:b/>
          <w:bCs/>
          <w:color w:val="231F20"/>
          <w:sz w:val="20"/>
          <w:szCs w:val="20"/>
          <w:lang w:val="en-US"/>
        </w:rPr>
      </w:pPr>
      <w:proofErr w:type="spellStart"/>
      <w:r w:rsidRPr="00362948">
        <w:rPr>
          <w:rFonts w:ascii="Calibri" w:hAnsi="Calibri" w:cs="Calibri"/>
          <w:b/>
          <w:bCs/>
          <w:color w:val="231F20"/>
          <w:sz w:val="20"/>
          <w:szCs w:val="20"/>
          <w:lang w:val="en-US"/>
        </w:rPr>
        <w:t>Photo’s</w:t>
      </w:r>
      <w:proofErr w:type="spell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47208A" w:rsidRDefault="00A2794E" w:rsidP="00921CC2">
      <w:pPr>
        <w:pStyle w:val="NoSpacing"/>
        <w:rPr>
          <w:b/>
          <w:bCs/>
          <w:color w:val="DA1243"/>
        </w:rPr>
      </w:pPr>
      <w:r w:rsidRPr="0047208A">
        <w:rPr>
          <w:b/>
          <w:bCs/>
          <w:color w:val="DA1243"/>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62E51AFA" w:rsidR="00933202" w:rsidRPr="00DB4869" w:rsidRDefault="00292618" w:rsidP="00A2794E">
      <w:pPr>
        <w:autoSpaceDE w:val="0"/>
        <w:autoSpaceDN w:val="0"/>
        <w:adjustRightInd w:val="0"/>
        <w:rPr>
          <w:rFonts w:ascii="Calibri" w:hAnsi="Calibri" w:cs="Calibri"/>
          <w:color w:val="926C00"/>
          <w:sz w:val="28"/>
          <w:szCs w:val="28"/>
          <w:lang w:val="en-US"/>
        </w:rPr>
      </w:pPr>
      <w:r w:rsidRPr="00292618">
        <w:rPr>
          <w:rFonts w:asciiTheme="minorHAnsi" w:eastAsiaTheme="minorHAnsi" w:hAnsiTheme="minorHAnsi" w:cstheme="minorBidi"/>
          <w:sz w:val="20"/>
          <w:szCs w:val="20"/>
        </w:rPr>
        <w:t xml:space="preserve">Judges are looking for candidates who have completed professional studies within the construction and the built environment sector within the past 36 months. Applicants should demonstrate how they have excelled in the industry striving to make great contributions to the industry while demonstrating exemplary performance in their field of expertise standing out from their peers. This can be demonstrated through high technical ability, client &amp; customer focus, projects or engaging and responding to the demands faced by clients and the industry. Applicants should demonstrate achievements throughout their career and how they have developed communication, team and leadership skills while aiming to become one of the future leaders of the industry contributing towards </w:t>
      </w:r>
      <w:r w:rsidR="001B52A0">
        <w:rPr>
          <w:rFonts w:asciiTheme="minorHAnsi" w:eastAsiaTheme="minorHAnsi" w:hAnsiTheme="minorHAnsi" w:cstheme="minorBidi"/>
          <w:sz w:val="20"/>
          <w:szCs w:val="20"/>
        </w:rPr>
        <w:t xml:space="preserve">delivering a better industry as a whole. </w:t>
      </w:r>
      <w:r w:rsidR="001B52A0">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47208A" w:rsidRDefault="00267BC9" w:rsidP="00C47243">
            <w:pPr>
              <w:pStyle w:val="NoSpacing"/>
              <w:rPr>
                <w:rFonts w:ascii="Calibri" w:hAnsi="Calibri" w:cs="Calibri"/>
                <w:b/>
                <w:bCs/>
                <w:color w:val="DA1243"/>
                <w:sz w:val="28"/>
                <w:szCs w:val="28"/>
                <w:lang w:eastAsia="en-GB"/>
              </w:rPr>
            </w:pPr>
            <w:r w:rsidRPr="0047208A">
              <w:rPr>
                <w:rFonts w:ascii="Calibri" w:hAnsi="Calibri" w:cs="Calibri"/>
                <w:b/>
                <w:bCs/>
                <w:color w:val="DA1243"/>
                <w:sz w:val="28"/>
                <w:szCs w:val="28"/>
                <w:lang w:eastAsia="en-GB"/>
              </w:rPr>
              <w:t xml:space="preserve">Entry </w:t>
            </w:r>
            <w:r w:rsidR="00C47243" w:rsidRPr="0047208A">
              <w:rPr>
                <w:rFonts w:ascii="Calibri" w:hAnsi="Calibri" w:cs="Calibri"/>
                <w:b/>
                <w:bCs/>
                <w:color w:val="DA1243"/>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21B8812A" w14:textId="77777777" w:rsidR="00AF073C" w:rsidRDefault="00AF073C" w:rsidP="00AF073C">
            <w:pPr>
              <w:pStyle w:val="NoSpacing"/>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color w:val="231F20"/>
                <w:sz w:val="20"/>
                <w:szCs w:val="20"/>
                <w:lang w:val="en-US"/>
              </w:rPr>
              <w:t xml:space="preserve">Sandra Janik </w:t>
            </w:r>
            <w:r w:rsidRPr="00533BDD">
              <w:rPr>
                <w:rFonts w:ascii="Calibri" w:hAnsi="Calibri" w:cs="Calibri"/>
                <w:color w:val="231F20"/>
                <w:sz w:val="20"/>
                <w:szCs w:val="20"/>
                <w:lang w:val="en-US"/>
              </w:rPr>
              <w:t xml:space="preserve">(G4C North West Chair) – </w:t>
            </w:r>
            <w:hyperlink r:id="rId8" w:history="1">
              <w:r w:rsidRPr="008B2DB9">
                <w:rPr>
                  <w:rStyle w:val="Hyperlink"/>
                </w:rPr>
                <w:t>sandra.janik@turntown.co.uk</w:t>
              </w:r>
            </w:hyperlink>
          </w:p>
          <w:p w14:paraId="3046220F" w14:textId="179A9E52" w:rsidR="0032274B" w:rsidRDefault="0032274B" w:rsidP="0032274B">
            <w:pPr>
              <w:pStyle w:val="NoSpacing"/>
              <w:rPr>
                <w:rFonts w:ascii="Calibri" w:hAnsi="Calibri" w:cs="Calibri"/>
                <w:color w:val="231F20"/>
                <w:sz w:val="20"/>
                <w:szCs w:val="20"/>
                <w:lang w:val="en-US"/>
              </w:rPr>
            </w:pPr>
          </w:p>
          <w:p w14:paraId="51EF9D2D" w14:textId="79B85948"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7691B440"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New Professional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06D42E24" w14:textId="77777777" w:rsidR="00B16B0E" w:rsidRPr="00BD6416" w:rsidRDefault="00B16B0E" w:rsidP="00B16B0E">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North West) AWARDS ENTRY F</w:t>
      </w:r>
      <w:r>
        <w:rPr>
          <w:b/>
          <w:bCs/>
          <w:color w:val="DA1243"/>
        </w:rPr>
        <w:t xml:space="preserve">ORM                                                         </w:t>
      </w:r>
      <w:r w:rsidRPr="00BD6416">
        <w:rPr>
          <w:b/>
          <w:bCs/>
          <w:color w:val="DA1243"/>
        </w:rPr>
        <w:t xml:space="preserve">   SECTION 1 OF 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47208A">
        <w:rPr>
          <w:rFonts w:asciiTheme="minorHAnsi" w:eastAsiaTheme="minorHAnsi" w:hAnsiTheme="minorHAnsi" w:cstheme="minorBidi"/>
          <w:b/>
          <w:bCs/>
          <w:color w:val="DA1243"/>
          <w:sz w:val="20"/>
          <w:szCs w:val="20"/>
        </w:rPr>
        <w:t>IMPORTANT:</w:t>
      </w:r>
      <w:r w:rsidRPr="0047208A">
        <w:rPr>
          <w:rFonts w:asciiTheme="minorHAnsi" w:eastAsiaTheme="minorHAnsi" w:hAnsiTheme="minorHAnsi" w:cstheme="minorBidi"/>
          <w:color w:val="DA1243"/>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5D4B40A0"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New Professional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083F7B43" w14:textId="77603306" w:rsidR="00B16B0E" w:rsidRPr="00BD6416" w:rsidRDefault="00B16B0E" w:rsidP="00B16B0E">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North West) AWARDS ENTRY F</w:t>
      </w:r>
      <w:r>
        <w:rPr>
          <w:b/>
          <w:bCs/>
          <w:color w:val="DA1243"/>
        </w:rPr>
        <w:t xml:space="preserve">ORM                                                         </w:t>
      </w:r>
      <w:r w:rsidRPr="00BD6416">
        <w:rPr>
          <w:b/>
          <w:bCs/>
          <w:color w:val="DA1243"/>
        </w:rPr>
        <w:t xml:space="preserve">   SECTION</w:t>
      </w:r>
      <w:r>
        <w:rPr>
          <w:b/>
          <w:bCs/>
          <w:color w:val="DA1243"/>
        </w:rPr>
        <w:t xml:space="preserve"> 2 </w:t>
      </w:r>
      <w:r w:rsidRPr="00BD6416">
        <w:rPr>
          <w:b/>
          <w:bCs/>
          <w:color w:val="DA1243"/>
        </w:rPr>
        <w:t>OF 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7CD7EBCF" w14:textId="77777777" w:rsidR="0082642F" w:rsidRDefault="0082642F" w:rsidP="0082642F">
      <w:pPr>
        <w:pStyle w:val="NoSpacing"/>
      </w:pPr>
    </w:p>
    <w:p w14:paraId="26B89752" w14:textId="77777777" w:rsidR="00CC1F32" w:rsidRDefault="00CC1F32" w:rsidP="00CC1F32">
      <w:pPr>
        <w:pStyle w:val="NoSpacing"/>
        <w:jc w:val="center"/>
      </w:pPr>
      <w:r>
        <w:rPr>
          <w:noProof/>
        </w:rPr>
        <w:drawing>
          <wp:inline distT="0" distB="0" distL="0" distR="0" wp14:anchorId="77B8761C" wp14:editId="7A98134B">
            <wp:extent cx="3332018" cy="1874679"/>
            <wp:effectExtent l="0" t="0" r="1905" b="0"/>
            <wp:docPr id="8588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1291FAF6" w14:textId="77777777" w:rsidR="00CC1F32" w:rsidRDefault="00CC1F32" w:rsidP="00CC1F32">
      <w:pPr>
        <w:pStyle w:val="NoSpacing"/>
      </w:pPr>
    </w:p>
    <w:p w14:paraId="05555E80" w14:textId="77777777" w:rsidR="00CC1F32" w:rsidRPr="003505C5" w:rsidRDefault="00CC1F32" w:rsidP="00CC1F32">
      <w:pPr>
        <w:jc w:val="center"/>
        <w:rPr>
          <w:rFonts w:asciiTheme="minorHAnsi" w:hAnsiTheme="minorHAnsi" w:cs="Arial"/>
          <w:b/>
          <w:color w:val="82002E"/>
          <w:sz w:val="32"/>
          <w:szCs w:val="32"/>
          <w:u w:val="single"/>
        </w:rPr>
      </w:pPr>
      <w:bookmarkStart w:id="0" w:name="_Hlk113002757"/>
      <w:r w:rsidRPr="00BD6416">
        <w:rPr>
          <w:rFonts w:asciiTheme="minorHAnsi" w:hAnsiTheme="minorHAnsi" w:cs="Arial"/>
          <w:b/>
          <w:color w:val="DA1243"/>
          <w:sz w:val="32"/>
          <w:szCs w:val="32"/>
          <w:u w:val="single"/>
        </w:rPr>
        <w:t>GENERATION 4 CHANGE NORTH WEST AWARDS</w:t>
      </w:r>
    </w:p>
    <w:p w14:paraId="371711A4" w14:textId="77777777" w:rsidR="00CC1F32" w:rsidRPr="003505C5" w:rsidRDefault="00CC1F32" w:rsidP="00CC1F32">
      <w:pPr>
        <w:jc w:val="both"/>
        <w:rPr>
          <w:rFonts w:asciiTheme="minorHAnsi" w:hAnsiTheme="minorHAnsi" w:cs="Arial"/>
          <w:b/>
          <w:sz w:val="22"/>
          <w:szCs w:val="22"/>
        </w:rPr>
      </w:pPr>
    </w:p>
    <w:p w14:paraId="0B0CA2D0" w14:textId="77777777" w:rsidR="00CC1F32" w:rsidRPr="00BD6416" w:rsidRDefault="00CC1F32" w:rsidP="00CC1F32">
      <w:pPr>
        <w:jc w:val="both"/>
        <w:rPr>
          <w:rFonts w:asciiTheme="minorHAnsi" w:hAnsiTheme="minorHAnsi" w:cs="Arial"/>
          <w:b/>
          <w:color w:val="DA1243"/>
          <w:sz w:val="22"/>
          <w:szCs w:val="22"/>
        </w:rPr>
      </w:pPr>
    </w:p>
    <w:p w14:paraId="7ECEBE0E" w14:textId="77777777" w:rsidR="00CC1F32" w:rsidRPr="00BD6416" w:rsidRDefault="00CC1F32" w:rsidP="00CC1F32">
      <w:pPr>
        <w:jc w:val="both"/>
        <w:rPr>
          <w:rFonts w:asciiTheme="minorHAnsi" w:hAnsiTheme="minorHAnsi" w:cs="Arial"/>
          <w:color w:val="DA1243"/>
          <w:sz w:val="22"/>
          <w:szCs w:val="22"/>
        </w:rPr>
      </w:pPr>
      <w:r w:rsidRPr="00BD6416">
        <w:rPr>
          <w:rFonts w:asciiTheme="minorHAnsi" w:hAnsiTheme="minorHAnsi" w:cs="Arial"/>
          <w:b/>
          <w:color w:val="DA1243"/>
          <w:sz w:val="22"/>
          <w:szCs w:val="22"/>
        </w:rPr>
        <w:t>Important information on how to enter:</w:t>
      </w:r>
    </w:p>
    <w:p w14:paraId="5C5E1DA3" w14:textId="77777777" w:rsidR="00CC1F32" w:rsidRPr="00BD6416" w:rsidRDefault="00CC1F32" w:rsidP="00CC1F32">
      <w:pPr>
        <w:ind w:firstLine="402"/>
        <w:jc w:val="both"/>
        <w:rPr>
          <w:rFonts w:asciiTheme="minorHAnsi" w:hAnsiTheme="minorHAnsi" w:cs="Arial"/>
          <w:color w:val="DA1243"/>
          <w:sz w:val="22"/>
          <w:szCs w:val="22"/>
        </w:rPr>
      </w:pPr>
    </w:p>
    <w:p w14:paraId="21A3EE7A" w14:textId="77777777" w:rsidR="00CC1F32" w:rsidRPr="00BD6416" w:rsidRDefault="00CC1F32" w:rsidP="00CC1F32">
      <w:pPr>
        <w:ind w:firstLine="402"/>
        <w:jc w:val="both"/>
        <w:rPr>
          <w:rFonts w:asciiTheme="minorHAnsi" w:hAnsiTheme="minorHAnsi" w:cs="Arial"/>
          <w:color w:val="DA1243"/>
          <w:sz w:val="22"/>
          <w:szCs w:val="22"/>
        </w:rPr>
      </w:pPr>
    </w:p>
    <w:p w14:paraId="29008641" w14:textId="77777777" w:rsidR="00CC1F32" w:rsidRPr="00BD6416" w:rsidRDefault="00CC1F32" w:rsidP="00CC1F32">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 xml:space="preserve">Qualifying </w:t>
      </w:r>
    </w:p>
    <w:p w14:paraId="142B2D7A" w14:textId="77777777" w:rsidR="00CC1F32" w:rsidRPr="003505C5" w:rsidRDefault="00CC1F32" w:rsidP="00CC1F32">
      <w:pPr>
        <w:jc w:val="both"/>
        <w:rPr>
          <w:rFonts w:asciiTheme="minorHAnsi" w:hAnsiTheme="minorHAnsi" w:cs="Arial"/>
          <w:sz w:val="22"/>
          <w:szCs w:val="22"/>
        </w:rPr>
      </w:pPr>
    </w:p>
    <w:p w14:paraId="577C6E32" w14:textId="77777777" w:rsidR="00CC1F32" w:rsidRPr="003505C5" w:rsidRDefault="00CC1F32" w:rsidP="00CC1F32">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5B9C5BF0" w14:textId="77777777" w:rsidR="00CC1F32" w:rsidRPr="008112BD" w:rsidRDefault="00CC1F32" w:rsidP="00CC1F32">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the North West</w:t>
      </w:r>
    </w:p>
    <w:p w14:paraId="187FF5FC" w14:textId="77777777" w:rsidR="00CC1F32" w:rsidRPr="008112BD" w:rsidRDefault="00CC1F32" w:rsidP="00CC1F32">
      <w:pPr>
        <w:jc w:val="both"/>
        <w:rPr>
          <w:rFonts w:asciiTheme="minorHAnsi" w:hAnsiTheme="minorHAnsi" w:cs="Arial"/>
          <w:color w:val="82002E"/>
          <w:sz w:val="22"/>
          <w:szCs w:val="22"/>
        </w:rPr>
      </w:pPr>
    </w:p>
    <w:p w14:paraId="000C7854" w14:textId="77777777" w:rsidR="00CC1F32" w:rsidRPr="00BD6416" w:rsidRDefault="00CC1F32" w:rsidP="00CC1F32">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How to enter - Entry Guidelines</w:t>
      </w:r>
    </w:p>
    <w:p w14:paraId="7970CF55" w14:textId="77777777" w:rsidR="00CC1F32" w:rsidRPr="003505C5" w:rsidRDefault="00CC1F32" w:rsidP="00CC1F32">
      <w:pPr>
        <w:jc w:val="both"/>
        <w:rPr>
          <w:rFonts w:asciiTheme="minorHAnsi" w:hAnsiTheme="minorHAnsi" w:cs="Arial"/>
          <w:b/>
          <w:sz w:val="22"/>
          <w:szCs w:val="22"/>
          <w:u w:val="single"/>
        </w:rPr>
      </w:pPr>
    </w:p>
    <w:p w14:paraId="77CEDF25" w14:textId="77777777" w:rsidR="00CC1F32" w:rsidRPr="00533BDD" w:rsidRDefault="00CC1F32" w:rsidP="00CC1F32">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All submissions must be made by</w:t>
      </w:r>
      <w:r w:rsidRPr="00BD6416">
        <w:rPr>
          <w:rFonts w:asciiTheme="minorHAnsi" w:hAnsiTheme="minorHAnsi" w:cs="Arial"/>
          <w:color w:val="DA1243"/>
          <w:sz w:val="22"/>
          <w:szCs w:val="22"/>
        </w:rPr>
        <w:t xml:space="preserve"> </w:t>
      </w:r>
      <w:r w:rsidRPr="00BD6416">
        <w:rPr>
          <w:rFonts w:asciiTheme="minorHAnsi" w:hAnsiTheme="minorHAnsi" w:cs="Arial"/>
          <w:b/>
          <w:color w:val="DA1243"/>
          <w:sz w:val="22"/>
          <w:szCs w:val="22"/>
          <w:u w:val="single"/>
        </w:rPr>
        <w:t>17.00 on 25</w:t>
      </w:r>
      <w:r w:rsidRPr="00BD6416">
        <w:rPr>
          <w:rFonts w:asciiTheme="minorHAnsi" w:hAnsiTheme="minorHAnsi" w:cs="Arial"/>
          <w:b/>
          <w:color w:val="DA1243"/>
          <w:sz w:val="22"/>
          <w:szCs w:val="22"/>
          <w:u w:val="single"/>
          <w:vertAlign w:val="superscript"/>
        </w:rPr>
        <w:t>th</w:t>
      </w:r>
      <w:r w:rsidRPr="00BD6416">
        <w:rPr>
          <w:rFonts w:asciiTheme="minorHAnsi" w:hAnsiTheme="minorHAnsi" w:cs="Arial"/>
          <w:b/>
          <w:color w:val="DA1243"/>
          <w:sz w:val="22"/>
          <w:szCs w:val="22"/>
          <w:u w:val="single"/>
        </w:rPr>
        <w:t xml:space="preserve"> April 2025</w:t>
      </w:r>
    </w:p>
    <w:p w14:paraId="5653923D" w14:textId="77777777" w:rsidR="00CC1F32" w:rsidRPr="009A6156" w:rsidRDefault="00CC1F32" w:rsidP="00CC1F32">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w:t>
      </w:r>
      <w:r>
        <w:rPr>
          <w:rFonts w:asciiTheme="minorHAnsi" w:hAnsiTheme="minorHAnsi" w:cs="Arial"/>
          <w:b/>
          <w:bCs/>
        </w:rPr>
        <w:t xml:space="preserve">Sandra Janik - </w:t>
      </w:r>
      <w:hyperlink r:id="rId10" w:history="1">
        <w:r w:rsidRPr="008B2DB9">
          <w:rPr>
            <w:rStyle w:val="Hyperlink"/>
            <w:rFonts w:asciiTheme="minorHAnsi" w:hAnsiTheme="minorHAnsi" w:cs="Arial"/>
            <w:b/>
            <w:bCs/>
          </w:rPr>
          <w:t>sandra.janik@turntown.co.uk</w:t>
        </w:r>
      </w:hyperlink>
    </w:p>
    <w:p w14:paraId="5F1E1B7B" w14:textId="77777777" w:rsidR="00CC1F32" w:rsidRPr="003505C5" w:rsidRDefault="00CC1F32" w:rsidP="00CC1F32">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2111180D" w14:textId="77777777" w:rsidR="00CC1F32" w:rsidRPr="003505C5" w:rsidRDefault="00CC1F32" w:rsidP="00CC1F32">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27D46073" w14:textId="77777777" w:rsidR="00CC1F32" w:rsidRPr="003505C5" w:rsidRDefault="00CC1F32" w:rsidP="00CC1F32">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1984D852" w14:textId="77777777" w:rsidR="00CC1F32" w:rsidRPr="003505C5" w:rsidRDefault="00CC1F32" w:rsidP="00CC1F32">
      <w:pPr>
        <w:jc w:val="both"/>
        <w:rPr>
          <w:rFonts w:asciiTheme="minorHAnsi" w:hAnsiTheme="minorHAnsi" w:cs="Arial"/>
          <w:color w:val="E50000"/>
          <w:sz w:val="22"/>
          <w:szCs w:val="22"/>
        </w:rPr>
      </w:pPr>
    </w:p>
    <w:p w14:paraId="186B92A4" w14:textId="77777777" w:rsidR="00CC1F32" w:rsidRPr="00BD6416" w:rsidRDefault="00CC1F32" w:rsidP="00CC1F32">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Judging</w:t>
      </w:r>
    </w:p>
    <w:p w14:paraId="71E550AD" w14:textId="77777777" w:rsidR="00CC1F32" w:rsidRPr="003505C5" w:rsidRDefault="00CC1F32" w:rsidP="00CC1F32">
      <w:pPr>
        <w:jc w:val="both"/>
        <w:rPr>
          <w:rFonts w:asciiTheme="minorHAnsi" w:hAnsiTheme="minorHAnsi" w:cs="Arial"/>
          <w:b/>
          <w:sz w:val="22"/>
          <w:szCs w:val="22"/>
        </w:rPr>
      </w:pPr>
    </w:p>
    <w:p w14:paraId="0554F869" w14:textId="77777777" w:rsidR="00CC1F32" w:rsidRPr="003505C5" w:rsidRDefault="00CC1F32" w:rsidP="00CC1F32">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27CA757D" w14:textId="77777777" w:rsidR="00CC1F32" w:rsidRDefault="00CC1F32" w:rsidP="00CC1F32">
      <w:pPr>
        <w:numPr>
          <w:ilvl w:val="0"/>
          <w:numId w:val="17"/>
        </w:numPr>
        <w:jc w:val="both"/>
        <w:rPr>
          <w:rFonts w:asciiTheme="minorHAnsi" w:hAnsiTheme="minorHAnsi" w:cs="Arial"/>
          <w:sz w:val="22"/>
          <w:szCs w:val="22"/>
        </w:rPr>
      </w:pPr>
      <w:bookmarkStart w:id="1" w:name="_Hlk158364940"/>
      <w:r w:rsidRPr="00667009">
        <w:rPr>
          <w:rFonts w:asciiTheme="minorHAnsi" w:hAnsiTheme="minorHAnsi" w:cs="Arial"/>
          <w:sz w:val="22"/>
          <w:szCs w:val="22"/>
        </w:rPr>
        <w:t xml:space="preserve">Winners will be announced at </w:t>
      </w:r>
      <w:r>
        <w:rPr>
          <w:rFonts w:asciiTheme="minorHAnsi" w:hAnsiTheme="minorHAnsi" w:cs="Arial"/>
          <w:sz w:val="22"/>
          <w:szCs w:val="22"/>
        </w:rPr>
        <w:t>a venue in the North West (Venue TBC) in June 2024.</w:t>
      </w:r>
    </w:p>
    <w:bookmarkEnd w:id="1"/>
    <w:p w14:paraId="1D0A0FBC" w14:textId="77777777" w:rsidR="00CC1F32" w:rsidRPr="00667009" w:rsidRDefault="00CC1F32" w:rsidP="00CC1F32">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260A522D" w14:textId="77777777" w:rsidR="00CC1F32" w:rsidRPr="003505C5" w:rsidRDefault="00CC1F32" w:rsidP="00CC1F32">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North West. </w:t>
      </w:r>
    </w:p>
    <w:p w14:paraId="74FF48A2" w14:textId="77777777" w:rsidR="00CC1F32" w:rsidRPr="003505C5" w:rsidRDefault="00CC1F32" w:rsidP="00CC1F32">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00926937" w14:textId="77777777" w:rsidR="00CC1F32" w:rsidRPr="003505C5" w:rsidRDefault="00CC1F32" w:rsidP="00CC1F32">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0BDB07EC" w14:textId="77777777" w:rsidR="00CC1F32" w:rsidRPr="003505C5" w:rsidRDefault="00CC1F32" w:rsidP="00CC1F32">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6CCBB144" w14:textId="77777777" w:rsidR="00CC1F32" w:rsidRPr="003505C5" w:rsidRDefault="00CC1F32" w:rsidP="00CC1F32">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5D5C5C73" w14:textId="77777777" w:rsidR="00CC1F32" w:rsidRPr="003505C5" w:rsidRDefault="00CC1F32" w:rsidP="00CC1F32">
      <w:pPr>
        <w:rPr>
          <w:rFonts w:asciiTheme="minorHAnsi" w:eastAsiaTheme="minorHAnsi" w:hAnsiTheme="minorHAnsi" w:cs="Arial"/>
          <w:sz w:val="22"/>
          <w:szCs w:val="22"/>
        </w:rPr>
      </w:pPr>
    </w:p>
    <w:p w14:paraId="3B5388CF" w14:textId="77777777" w:rsidR="00CC1F32" w:rsidRPr="005E3572" w:rsidRDefault="00CC1F32" w:rsidP="00CC1F32">
      <w:pPr>
        <w:jc w:val="both"/>
        <w:rPr>
          <w:rFonts w:asciiTheme="minorHAnsi" w:hAnsiTheme="minorHAnsi" w:cs="Arial"/>
          <w:b/>
          <w:iCs/>
          <w:color w:val="DA1243"/>
        </w:rPr>
      </w:pPr>
      <w:r w:rsidRPr="005E3572">
        <w:rPr>
          <w:rFonts w:asciiTheme="minorHAnsi" w:hAnsiTheme="minorHAnsi" w:cs="Arial"/>
          <w:b/>
          <w:iCs/>
          <w:color w:val="DA1243"/>
        </w:rPr>
        <w:t xml:space="preserve">Good Luck! </w:t>
      </w:r>
    </w:p>
    <w:p w14:paraId="0EB44FA9" w14:textId="77777777" w:rsidR="00CC1F32" w:rsidRPr="00533BDD" w:rsidRDefault="00CC1F32" w:rsidP="00CC1F32">
      <w:pPr>
        <w:jc w:val="both"/>
        <w:rPr>
          <w:rFonts w:asciiTheme="minorHAnsi" w:hAnsiTheme="minorHAnsi" w:cs="Arial"/>
          <w:b/>
          <w:iCs/>
          <w:color w:val="82002E"/>
        </w:rPr>
      </w:pPr>
    </w:p>
    <w:p w14:paraId="3660AD6F" w14:textId="77777777" w:rsidR="00CC1F32" w:rsidRDefault="00CC1F32" w:rsidP="00CC1F32">
      <w:pPr>
        <w:jc w:val="both"/>
        <w:rPr>
          <w:rFonts w:asciiTheme="minorHAnsi" w:hAnsiTheme="minorHAnsi" w:cs="Arial"/>
          <w:b/>
          <w:iCs/>
          <w:color w:val="82002E"/>
        </w:rPr>
      </w:pPr>
      <w:r w:rsidRPr="005E3572">
        <w:rPr>
          <w:rFonts w:asciiTheme="minorHAnsi" w:hAnsiTheme="minorHAnsi" w:cs="Arial"/>
          <w:b/>
          <w:iCs/>
          <w:color w:val="DA1243"/>
        </w:rPr>
        <w:t xml:space="preserve">If you have any questions relating to your entry, please contact </w:t>
      </w:r>
      <w:bookmarkEnd w:id="0"/>
      <w:r w:rsidRPr="005E3572">
        <w:rPr>
          <w:rFonts w:asciiTheme="minorHAnsi" w:hAnsiTheme="minorHAnsi" w:cs="Arial"/>
          <w:b/>
          <w:iCs/>
          <w:color w:val="DA1243"/>
        </w:rPr>
        <w:t xml:space="preserve">Sandra Janik - </w:t>
      </w:r>
      <w:hyperlink r:id="rId11" w:history="1">
        <w:r w:rsidRPr="008B2DB9">
          <w:rPr>
            <w:rStyle w:val="Hyperlink"/>
            <w:rFonts w:asciiTheme="minorHAnsi" w:hAnsiTheme="minorHAnsi" w:cs="Arial"/>
            <w:b/>
            <w:iCs/>
          </w:rPr>
          <w:t>sandra.janik@turntown.co.uk</w:t>
        </w:r>
      </w:hyperlink>
    </w:p>
    <w:p w14:paraId="35EA4727" w14:textId="77777777" w:rsidR="00CC1F32" w:rsidRDefault="00CC1F32" w:rsidP="00CC1F32">
      <w:pPr>
        <w:jc w:val="both"/>
      </w:pPr>
    </w:p>
    <w:p w14:paraId="633334F8" w14:textId="77777777" w:rsidR="00667009" w:rsidRPr="00B51B72" w:rsidRDefault="00667009" w:rsidP="00090282">
      <w:pPr>
        <w:pStyle w:val="NoSpacing"/>
      </w:pPr>
    </w:p>
    <w:sectPr w:rsidR="00667009" w:rsidRPr="00B51B72" w:rsidSect="006D0431">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4378" w14:textId="77777777" w:rsidR="00FE490C" w:rsidRDefault="00FE490C" w:rsidP="00A2794E">
      <w:r>
        <w:separator/>
      </w:r>
    </w:p>
  </w:endnote>
  <w:endnote w:type="continuationSeparator" w:id="0">
    <w:p w14:paraId="0E0B0959" w14:textId="77777777" w:rsidR="00FE490C" w:rsidRDefault="00FE490C"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9C77" w14:textId="77777777" w:rsidR="00FE490C" w:rsidRDefault="00FE490C" w:rsidP="00A2794E">
      <w:r>
        <w:separator/>
      </w:r>
    </w:p>
  </w:footnote>
  <w:footnote w:type="continuationSeparator" w:id="0">
    <w:p w14:paraId="61DFC5E8" w14:textId="77777777" w:rsidR="00FE490C" w:rsidRDefault="00FE490C"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159D5D2A" w:rsidR="003354EC" w:rsidRDefault="0047208A" w:rsidP="0047208A">
    <w:pPr>
      <w:pStyle w:val="Header"/>
      <w:jc w:val="center"/>
      <w:rPr>
        <w:rFonts w:ascii="Calibri" w:hAnsi="Calibri" w:cs="Calibri"/>
        <w:b/>
        <w:noProof/>
        <w:color w:val="231F20"/>
        <w:lang w:val="en-US"/>
      </w:rPr>
    </w:pPr>
    <w:r>
      <w:rPr>
        <w:noProof/>
      </w:rPr>
      <w:drawing>
        <wp:inline distT="0" distB="0" distL="0" distR="0" wp14:anchorId="510BE39B" wp14:editId="502798DC">
          <wp:extent cx="3332018" cy="1874679"/>
          <wp:effectExtent l="0" t="0" r="1905" b="0"/>
          <wp:docPr id="3102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3430592">
    <w:abstractNumId w:val="17"/>
  </w:num>
  <w:num w:numId="2" w16cid:durableId="411007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674451">
    <w:abstractNumId w:val="18"/>
  </w:num>
  <w:num w:numId="4" w16cid:durableId="907804716">
    <w:abstractNumId w:val="2"/>
  </w:num>
  <w:num w:numId="5" w16cid:durableId="26610785">
    <w:abstractNumId w:val="20"/>
  </w:num>
  <w:num w:numId="6" w16cid:durableId="1746874395">
    <w:abstractNumId w:val="0"/>
  </w:num>
  <w:num w:numId="7" w16cid:durableId="348215528">
    <w:abstractNumId w:val="9"/>
  </w:num>
  <w:num w:numId="8" w16cid:durableId="262689163">
    <w:abstractNumId w:val="1"/>
  </w:num>
  <w:num w:numId="9" w16cid:durableId="198397659">
    <w:abstractNumId w:val="15"/>
  </w:num>
  <w:num w:numId="10" w16cid:durableId="1506551995">
    <w:abstractNumId w:val="13"/>
  </w:num>
  <w:num w:numId="11" w16cid:durableId="1425297626">
    <w:abstractNumId w:val="3"/>
  </w:num>
  <w:num w:numId="12" w16cid:durableId="1345860775">
    <w:abstractNumId w:val="8"/>
  </w:num>
  <w:num w:numId="13" w16cid:durableId="1989244378">
    <w:abstractNumId w:val="5"/>
  </w:num>
  <w:num w:numId="14" w16cid:durableId="1532306303">
    <w:abstractNumId w:val="7"/>
  </w:num>
  <w:num w:numId="15" w16cid:durableId="1500536139">
    <w:abstractNumId w:val="10"/>
  </w:num>
  <w:num w:numId="16" w16cid:durableId="1295017546">
    <w:abstractNumId w:val="11"/>
  </w:num>
  <w:num w:numId="17" w16cid:durableId="2141997762">
    <w:abstractNumId w:val="12"/>
  </w:num>
  <w:num w:numId="18" w16cid:durableId="468209368">
    <w:abstractNumId w:val="4"/>
  </w:num>
  <w:num w:numId="19" w16cid:durableId="2040809632">
    <w:abstractNumId w:val="16"/>
  </w:num>
  <w:num w:numId="20" w16cid:durableId="107437730">
    <w:abstractNumId w:val="14"/>
  </w:num>
  <w:num w:numId="21" w16cid:durableId="279729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3C2D"/>
    <w:rsid w:val="001575B1"/>
    <w:rsid w:val="001B52A0"/>
    <w:rsid w:val="00203419"/>
    <w:rsid w:val="00257E1A"/>
    <w:rsid w:val="00260B94"/>
    <w:rsid w:val="00267BC9"/>
    <w:rsid w:val="00287181"/>
    <w:rsid w:val="00292618"/>
    <w:rsid w:val="002A7BB3"/>
    <w:rsid w:val="002C0625"/>
    <w:rsid w:val="002C7052"/>
    <w:rsid w:val="002D2D73"/>
    <w:rsid w:val="0032274B"/>
    <w:rsid w:val="003354EC"/>
    <w:rsid w:val="00355C14"/>
    <w:rsid w:val="003614F9"/>
    <w:rsid w:val="00362948"/>
    <w:rsid w:val="003663C7"/>
    <w:rsid w:val="0038709F"/>
    <w:rsid w:val="003969D4"/>
    <w:rsid w:val="003A1AB2"/>
    <w:rsid w:val="003A7117"/>
    <w:rsid w:val="003D39DD"/>
    <w:rsid w:val="003F4ED1"/>
    <w:rsid w:val="0047208A"/>
    <w:rsid w:val="004747A3"/>
    <w:rsid w:val="004A1047"/>
    <w:rsid w:val="004A12EB"/>
    <w:rsid w:val="00562EE5"/>
    <w:rsid w:val="00572AC8"/>
    <w:rsid w:val="005A3C79"/>
    <w:rsid w:val="005B01D7"/>
    <w:rsid w:val="005C08E5"/>
    <w:rsid w:val="005E4A7D"/>
    <w:rsid w:val="005F15F9"/>
    <w:rsid w:val="00620FFD"/>
    <w:rsid w:val="00665007"/>
    <w:rsid w:val="00667009"/>
    <w:rsid w:val="006A6DA5"/>
    <w:rsid w:val="006D0431"/>
    <w:rsid w:val="006D5E45"/>
    <w:rsid w:val="006E49F9"/>
    <w:rsid w:val="007373C8"/>
    <w:rsid w:val="007949AD"/>
    <w:rsid w:val="0080104E"/>
    <w:rsid w:val="0081009E"/>
    <w:rsid w:val="0082642F"/>
    <w:rsid w:val="008873B6"/>
    <w:rsid w:val="0089798C"/>
    <w:rsid w:val="008A155B"/>
    <w:rsid w:val="008C313A"/>
    <w:rsid w:val="008D7A92"/>
    <w:rsid w:val="008E7E4D"/>
    <w:rsid w:val="00916FA8"/>
    <w:rsid w:val="00921CC2"/>
    <w:rsid w:val="00933202"/>
    <w:rsid w:val="009412BC"/>
    <w:rsid w:val="0095146F"/>
    <w:rsid w:val="0095529D"/>
    <w:rsid w:val="00960B31"/>
    <w:rsid w:val="00A03094"/>
    <w:rsid w:val="00A2794E"/>
    <w:rsid w:val="00A42DC5"/>
    <w:rsid w:val="00A53C68"/>
    <w:rsid w:val="00A849FD"/>
    <w:rsid w:val="00AA3F50"/>
    <w:rsid w:val="00AB6D8C"/>
    <w:rsid w:val="00AE4698"/>
    <w:rsid w:val="00AF073C"/>
    <w:rsid w:val="00B12FD7"/>
    <w:rsid w:val="00B14630"/>
    <w:rsid w:val="00B16B0E"/>
    <w:rsid w:val="00B51B72"/>
    <w:rsid w:val="00B756DF"/>
    <w:rsid w:val="00B93B0A"/>
    <w:rsid w:val="00B97459"/>
    <w:rsid w:val="00C00717"/>
    <w:rsid w:val="00C06F85"/>
    <w:rsid w:val="00C47243"/>
    <w:rsid w:val="00CB5A6C"/>
    <w:rsid w:val="00CC1F32"/>
    <w:rsid w:val="00CC70A7"/>
    <w:rsid w:val="00CD3DE0"/>
    <w:rsid w:val="00CE12C2"/>
    <w:rsid w:val="00CF3FB9"/>
    <w:rsid w:val="00D22BE0"/>
    <w:rsid w:val="00D4792D"/>
    <w:rsid w:val="00D67AC0"/>
    <w:rsid w:val="00D67EAA"/>
    <w:rsid w:val="00DB4869"/>
    <w:rsid w:val="00DC6216"/>
    <w:rsid w:val="00E15C0A"/>
    <w:rsid w:val="00E3423B"/>
    <w:rsid w:val="00E850D4"/>
    <w:rsid w:val="00EA556D"/>
    <w:rsid w:val="00EB68AA"/>
    <w:rsid w:val="00ED72F9"/>
    <w:rsid w:val="00EF5468"/>
    <w:rsid w:val="00F17FCE"/>
    <w:rsid w:val="00F71802"/>
    <w:rsid w:val="00F83F0F"/>
    <w:rsid w:val="00F959C1"/>
    <w:rsid w:val="00FE490C"/>
    <w:rsid w:val="00FF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janik@turntow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4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janik@turntown.co.uk" TargetMode="External"/><Relationship Id="rId5" Type="http://schemas.openxmlformats.org/officeDocument/2006/relationships/footnotes" Target="footnotes.xml"/><Relationship Id="rId10" Type="http://schemas.openxmlformats.org/officeDocument/2006/relationships/hyperlink" Target="mailto:sandra.janik@turntown.co.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Sandra Janik</cp:lastModifiedBy>
  <cp:revision>10</cp:revision>
  <cp:lastPrinted>2019-08-08T13:25:00Z</cp:lastPrinted>
  <dcterms:created xsi:type="dcterms:W3CDTF">2022-08-12T10:38:00Z</dcterms:created>
  <dcterms:modified xsi:type="dcterms:W3CDTF">2025-02-18T19:42:00Z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2025-02-18T19:41:16Z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2c36f162-1c52-4f0d-aa47-1cdb0253c0a3</vt:lpwstr>
  </property>
  <property fmtid="{D5CDD505-2E9C-101B-9397-08002B2CF9AE}" pid="8" name="MSIP_Label_8dfc4922-3fd1-4789-82f2-615f80bb0c20_ContentBits">
    <vt:lpwstr>0</vt:lpwstr>
  </property>
</Properties>
</file>