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D8" w:rsidRDefault="00D314D8" w:rsidP="004A791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7232" w:rsidRDefault="002C241A" w:rsidP="004A79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C</w:t>
      </w:r>
      <w:r w:rsidR="00A20D9F">
        <w:rPr>
          <w:rFonts w:ascii="Arial" w:hAnsi="Arial" w:cs="Arial"/>
          <w:b/>
          <w:sz w:val="28"/>
          <w:szCs w:val="28"/>
        </w:rPr>
        <w:t xml:space="preserve">onstruction </w:t>
      </w:r>
      <w:r w:rsidR="00536A6C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</w:t>
      </w:r>
      <w:r w:rsidR="00A20D9F">
        <w:rPr>
          <w:rFonts w:ascii="Arial" w:hAnsi="Arial" w:cs="Arial"/>
          <w:b/>
          <w:sz w:val="28"/>
          <w:szCs w:val="28"/>
        </w:rPr>
        <w:t xml:space="preserve">esign and </w:t>
      </w:r>
      <w:r>
        <w:rPr>
          <w:rFonts w:ascii="Arial" w:hAnsi="Arial" w:cs="Arial"/>
          <w:b/>
          <w:sz w:val="28"/>
          <w:szCs w:val="28"/>
        </w:rPr>
        <w:t>M</w:t>
      </w:r>
      <w:r w:rsidR="00A20D9F">
        <w:rPr>
          <w:rFonts w:ascii="Arial" w:hAnsi="Arial" w:cs="Arial"/>
          <w:b/>
          <w:sz w:val="28"/>
          <w:szCs w:val="28"/>
        </w:rPr>
        <w:t>anagement</w:t>
      </w:r>
      <w:r w:rsidR="00536A6C">
        <w:rPr>
          <w:rFonts w:ascii="Arial" w:hAnsi="Arial" w:cs="Arial"/>
          <w:b/>
          <w:sz w:val="28"/>
          <w:szCs w:val="28"/>
        </w:rPr>
        <w:t>)</w:t>
      </w:r>
      <w:r w:rsidR="00A20D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Reg</w:t>
      </w:r>
      <w:r w:rsidR="00A20D9F">
        <w:rPr>
          <w:rFonts w:ascii="Arial" w:hAnsi="Arial" w:cs="Arial"/>
          <w:b/>
          <w:sz w:val="28"/>
          <w:szCs w:val="28"/>
        </w:rPr>
        <w:t>ulation</w:t>
      </w:r>
      <w:r w:rsidR="003E73B6">
        <w:rPr>
          <w:rFonts w:ascii="Arial" w:hAnsi="Arial" w:cs="Arial"/>
          <w:b/>
          <w:sz w:val="28"/>
          <w:szCs w:val="28"/>
        </w:rPr>
        <w:t>s</w:t>
      </w:r>
      <w:r w:rsidR="00853712">
        <w:rPr>
          <w:rFonts w:ascii="Arial" w:hAnsi="Arial" w:cs="Arial"/>
          <w:b/>
          <w:sz w:val="28"/>
          <w:szCs w:val="28"/>
        </w:rPr>
        <w:t xml:space="preserve"> </w:t>
      </w:r>
      <w:r w:rsidR="00536A6C">
        <w:rPr>
          <w:rFonts w:ascii="Arial" w:hAnsi="Arial" w:cs="Arial"/>
          <w:b/>
          <w:sz w:val="28"/>
          <w:szCs w:val="28"/>
        </w:rPr>
        <w:t>2015</w:t>
      </w:r>
      <w:r w:rsidR="00853712">
        <w:rPr>
          <w:rFonts w:ascii="Arial" w:hAnsi="Arial" w:cs="Arial"/>
          <w:b/>
          <w:sz w:val="28"/>
          <w:szCs w:val="28"/>
        </w:rPr>
        <w:t>: Update 2</w:t>
      </w:r>
      <w:r w:rsidR="0018726D">
        <w:rPr>
          <w:rFonts w:ascii="Arial" w:hAnsi="Arial" w:cs="Arial"/>
          <w:b/>
          <w:sz w:val="28"/>
          <w:szCs w:val="28"/>
        </w:rPr>
        <w:t>7</w:t>
      </w:r>
      <w:r w:rsidR="00853712">
        <w:rPr>
          <w:rFonts w:ascii="Arial" w:hAnsi="Arial" w:cs="Arial"/>
          <w:b/>
          <w:sz w:val="28"/>
          <w:szCs w:val="28"/>
        </w:rPr>
        <w:t>Feb</w:t>
      </w:r>
      <w:r w:rsidR="00496B1C">
        <w:rPr>
          <w:rFonts w:ascii="Arial" w:hAnsi="Arial" w:cs="Arial"/>
          <w:b/>
          <w:sz w:val="28"/>
          <w:szCs w:val="28"/>
        </w:rPr>
        <w:t>20</w:t>
      </w:r>
      <w:r w:rsidR="003E73B6">
        <w:rPr>
          <w:rFonts w:ascii="Arial" w:hAnsi="Arial" w:cs="Arial"/>
          <w:b/>
          <w:sz w:val="28"/>
          <w:szCs w:val="28"/>
        </w:rPr>
        <w:t>15</w:t>
      </w:r>
    </w:p>
    <w:p w:rsidR="00853712" w:rsidRPr="00DB394E" w:rsidRDefault="00536A6C" w:rsidP="004A791C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DB394E">
        <w:rPr>
          <w:rFonts w:ascii="Arial" w:hAnsi="Arial" w:cs="Arial"/>
          <w:b/>
          <w:color w:val="7030A0"/>
          <w:sz w:val="24"/>
          <w:szCs w:val="24"/>
        </w:rPr>
        <w:t>The n</w:t>
      </w:r>
      <w:r w:rsidR="00853712" w:rsidRPr="00DB394E">
        <w:rPr>
          <w:rFonts w:ascii="Arial" w:hAnsi="Arial" w:cs="Arial"/>
          <w:b/>
          <w:color w:val="7030A0"/>
          <w:sz w:val="24"/>
          <w:szCs w:val="24"/>
        </w:rPr>
        <w:t>ew</w:t>
      </w:r>
      <w:r w:rsidR="003E73B6" w:rsidRPr="00DB394E">
        <w:rPr>
          <w:rFonts w:ascii="Arial" w:hAnsi="Arial" w:cs="Arial"/>
          <w:b/>
          <w:color w:val="7030A0"/>
          <w:sz w:val="24"/>
          <w:szCs w:val="24"/>
        </w:rPr>
        <w:t xml:space="preserve"> Regulations (CDM 2015) will come into force on </w:t>
      </w:r>
      <w:r w:rsidR="003E73B6" w:rsidRPr="00DB394E">
        <w:rPr>
          <w:rFonts w:ascii="Arial" w:hAnsi="Arial" w:cs="Arial"/>
          <w:b/>
          <w:bCs/>
          <w:color w:val="7030A0"/>
          <w:sz w:val="24"/>
          <w:szCs w:val="24"/>
        </w:rPr>
        <w:t>6</w:t>
      </w:r>
      <w:r w:rsidR="003E73B6" w:rsidRPr="00DB394E">
        <w:rPr>
          <w:rFonts w:ascii="Arial" w:hAnsi="Arial" w:cs="Arial"/>
          <w:b/>
          <w:bCs/>
          <w:color w:val="7030A0"/>
          <w:sz w:val="24"/>
          <w:szCs w:val="24"/>
          <w:vertAlign w:val="superscript"/>
        </w:rPr>
        <w:t>th</w:t>
      </w:r>
      <w:r w:rsidR="003E73B6" w:rsidRPr="00DB394E">
        <w:rPr>
          <w:rFonts w:ascii="Arial" w:hAnsi="Arial" w:cs="Arial"/>
          <w:b/>
          <w:bCs/>
          <w:color w:val="7030A0"/>
          <w:sz w:val="24"/>
          <w:szCs w:val="24"/>
        </w:rPr>
        <w:t xml:space="preserve"> April 2015.</w:t>
      </w:r>
    </w:p>
    <w:bookmarkEnd w:id="0"/>
    <w:p w:rsidR="00D314D8" w:rsidRPr="00B17C51" w:rsidRDefault="00D314D8" w:rsidP="004A79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3E73B6" w:rsidTr="003E73B6">
        <w:tc>
          <w:tcPr>
            <w:tcW w:w="5565" w:type="dxa"/>
          </w:tcPr>
          <w:p w:rsidR="002E3131" w:rsidRDefault="002E3131" w:rsidP="00853712">
            <w:pPr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Summary</w:t>
            </w:r>
          </w:p>
          <w:p w:rsidR="00835CFB" w:rsidRPr="00EC1A54" w:rsidRDefault="00835CFB" w:rsidP="00835CF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 xml:space="preserve">CDM </w:t>
            </w:r>
            <w:proofErr w:type="spellStart"/>
            <w:r w:rsidRPr="00EC1A54">
              <w:rPr>
                <w:rFonts w:ascii="Arial" w:hAnsi="Arial" w:cs="Arial"/>
                <w:iCs/>
              </w:rPr>
              <w:t>Regs</w:t>
            </w:r>
            <w:proofErr w:type="spellEnd"/>
            <w:r w:rsidRPr="00EC1A54">
              <w:rPr>
                <w:rFonts w:ascii="Arial" w:hAnsi="Arial" w:cs="Arial"/>
                <w:iCs/>
              </w:rPr>
              <w:t xml:space="preserve"> revisions, coming into force on 6 April 2015, will be the largest change to construction legislation since 2007</w:t>
            </w:r>
          </w:p>
          <w:p w:rsidR="00835CFB" w:rsidRPr="00EC1A54" w:rsidRDefault="00835CFB" w:rsidP="00835CFB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>The CDM Regulatory package will consist of:</w:t>
            </w:r>
          </w:p>
          <w:p w:rsidR="00835CFB" w:rsidRPr="00EC1A54" w:rsidRDefault="00835CFB" w:rsidP="00835CFB">
            <w:pPr>
              <w:pStyle w:val="ListParagraph"/>
              <w:numPr>
                <w:ilvl w:val="1"/>
                <w:numId w:val="34"/>
              </w:num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>The CDM Regulations</w:t>
            </w:r>
          </w:p>
          <w:p w:rsidR="00835CFB" w:rsidRPr="00EC1A54" w:rsidRDefault="00835CFB" w:rsidP="00835CFB">
            <w:pPr>
              <w:pStyle w:val="ListParagraph"/>
              <w:numPr>
                <w:ilvl w:val="1"/>
                <w:numId w:val="34"/>
              </w:num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>HSE ‘L’ series (legal) guidance</w:t>
            </w:r>
          </w:p>
          <w:p w:rsidR="00835CFB" w:rsidRPr="00EC1A54" w:rsidRDefault="00835CFB" w:rsidP="00835CFB">
            <w:pPr>
              <w:pStyle w:val="ListParagraph"/>
              <w:numPr>
                <w:ilvl w:val="1"/>
                <w:numId w:val="34"/>
              </w:num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>CONIAC Industry guidance</w:t>
            </w:r>
          </w:p>
          <w:p w:rsidR="002E3131" w:rsidRPr="00EC1A54" w:rsidRDefault="002E3131" w:rsidP="002E313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>All projects</w:t>
            </w:r>
            <w:r w:rsidR="00536A6C" w:rsidRPr="00EC1A54">
              <w:rPr>
                <w:rFonts w:ascii="Arial" w:hAnsi="Arial" w:cs="Arial"/>
                <w:iCs/>
              </w:rPr>
              <w:t xml:space="preserve">, including domestic client work, </w:t>
            </w:r>
            <w:r w:rsidRPr="00EC1A54">
              <w:rPr>
                <w:rFonts w:ascii="Arial" w:hAnsi="Arial" w:cs="Arial"/>
                <w:iCs/>
              </w:rPr>
              <w:t>will need to produce a construction phase plan, which means micro</w:t>
            </w:r>
            <w:r w:rsidR="0018726D" w:rsidRPr="00EC1A54">
              <w:rPr>
                <w:rFonts w:ascii="Arial" w:hAnsi="Arial" w:cs="Arial"/>
                <w:iCs/>
              </w:rPr>
              <w:t>,</w:t>
            </w:r>
            <w:r w:rsidRPr="00EC1A54">
              <w:rPr>
                <w:rFonts w:ascii="Arial" w:hAnsi="Arial" w:cs="Arial"/>
                <w:iCs/>
              </w:rPr>
              <w:t xml:space="preserve"> small and </w:t>
            </w:r>
            <w:r w:rsidR="0018726D" w:rsidRPr="00EC1A54">
              <w:rPr>
                <w:rFonts w:ascii="Arial" w:hAnsi="Arial" w:cs="Arial"/>
                <w:iCs/>
              </w:rPr>
              <w:t xml:space="preserve">SME companies </w:t>
            </w:r>
            <w:r w:rsidRPr="00EC1A54">
              <w:rPr>
                <w:rFonts w:ascii="Arial" w:hAnsi="Arial" w:cs="Arial"/>
                <w:iCs/>
              </w:rPr>
              <w:t>will be affected for the first time</w:t>
            </w:r>
          </w:p>
          <w:p w:rsidR="002E3131" w:rsidRPr="00EC1A54" w:rsidRDefault="002E3131" w:rsidP="002E313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>CITB has been working with HSE and our industry partners to raise awareness and encourage early compliance.</w:t>
            </w:r>
          </w:p>
          <w:p w:rsidR="002E3131" w:rsidRDefault="002E3131" w:rsidP="00853712">
            <w:pPr>
              <w:contextualSpacing/>
              <w:rPr>
                <w:rFonts w:ascii="Arial" w:hAnsi="Arial" w:cs="Arial"/>
                <w:b/>
                <w:iCs/>
              </w:rPr>
            </w:pPr>
          </w:p>
          <w:p w:rsidR="00D314D8" w:rsidRPr="00853712" w:rsidRDefault="00853712" w:rsidP="00853712">
            <w:pPr>
              <w:contextualSpacing/>
              <w:rPr>
                <w:rFonts w:ascii="Arial" w:hAnsi="Arial" w:cs="Arial"/>
                <w:b/>
                <w:iCs/>
              </w:rPr>
            </w:pPr>
            <w:r w:rsidRPr="00853712">
              <w:rPr>
                <w:rFonts w:ascii="Arial" w:hAnsi="Arial" w:cs="Arial"/>
                <w:b/>
                <w:iCs/>
              </w:rPr>
              <w:t>Final Industry Guidance Documents</w:t>
            </w:r>
          </w:p>
          <w:p w:rsidR="00853712" w:rsidRDefault="00853712" w:rsidP="00853712">
            <w:p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Final documents will be available from 6 April to coincide with HSE’s publication of the final </w:t>
            </w:r>
            <w:r w:rsidR="00536A6C">
              <w:rPr>
                <w:rFonts w:ascii="Arial" w:hAnsi="Arial" w:cs="Arial"/>
                <w:iCs/>
              </w:rPr>
              <w:t>Regulations and supporting ‘</w:t>
            </w:r>
            <w:r>
              <w:rPr>
                <w:rFonts w:ascii="Arial" w:hAnsi="Arial" w:cs="Arial"/>
                <w:iCs/>
              </w:rPr>
              <w:t>L</w:t>
            </w:r>
            <w:r w:rsidR="00536A6C">
              <w:rPr>
                <w:rFonts w:ascii="Arial" w:hAnsi="Arial" w:cs="Arial"/>
                <w:iCs/>
              </w:rPr>
              <w:t>’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536A6C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 xml:space="preserve">eries </w:t>
            </w:r>
            <w:r w:rsidR="00536A6C">
              <w:rPr>
                <w:rFonts w:ascii="Arial" w:hAnsi="Arial" w:cs="Arial"/>
                <w:iCs/>
              </w:rPr>
              <w:t>guidance</w:t>
            </w:r>
            <w:r>
              <w:rPr>
                <w:rFonts w:ascii="Arial" w:hAnsi="Arial" w:cs="Arial"/>
                <w:iCs/>
              </w:rPr>
              <w:t>.</w:t>
            </w:r>
          </w:p>
          <w:p w:rsidR="00853712" w:rsidRDefault="00853712" w:rsidP="00853712">
            <w:pPr>
              <w:contextualSpacing/>
              <w:rPr>
                <w:rFonts w:ascii="Arial" w:hAnsi="Arial" w:cs="Arial"/>
                <w:iCs/>
              </w:rPr>
            </w:pPr>
          </w:p>
          <w:p w:rsidR="00853712" w:rsidRPr="00853712" w:rsidRDefault="001E53FF" w:rsidP="00853712">
            <w:pPr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CITB s</w:t>
            </w:r>
            <w:r w:rsidR="00853712" w:rsidRPr="00853712">
              <w:rPr>
                <w:rFonts w:ascii="Arial" w:hAnsi="Arial" w:cs="Arial"/>
                <w:b/>
                <w:iCs/>
              </w:rPr>
              <w:t>upport activity so far:</w:t>
            </w:r>
          </w:p>
          <w:p w:rsidR="00853712" w:rsidRPr="001E53FF" w:rsidRDefault="00536A6C" w:rsidP="001E53FF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Free </w:t>
            </w:r>
            <w:r w:rsidR="00853712" w:rsidRPr="001E53FF">
              <w:rPr>
                <w:rFonts w:ascii="Arial" w:hAnsi="Arial" w:cs="Arial"/>
                <w:iCs/>
              </w:rPr>
              <w:t xml:space="preserve">CDM Wizard App </w:t>
            </w:r>
            <w:r>
              <w:rPr>
                <w:rFonts w:ascii="Arial" w:hAnsi="Arial" w:cs="Arial"/>
                <w:iCs/>
              </w:rPr>
              <w:t>(Android)</w:t>
            </w:r>
          </w:p>
          <w:p w:rsidR="00853712" w:rsidRPr="001E53FF" w:rsidRDefault="00536A6C" w:rsidP="001E53FF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New w</w:t>
            </w:r>
            <w:r w:rsidR="00853712" w:rsidRPr="001E53FF">
              <w:rPr>
                <w:rFonts w:ascii="Arial" w:hAnsi="Arial" w:cs="Arial"/>
                <w:iCs/>
              </w:rPr>
              <w:t xml:space="preserve">eb pages </w:t>
            </w:r>
            <w:r>
              <w:rPr>
                <w:rFonts w:ascii="Arial" w:hAnsi="Arial" w:cs="Arial"/>
                <w:iCs/>
              </w:rPr>
              <w:t>hosting the</w:t>
            </w:r>
            <w:r w:rsidRPr="001E53FF">
              <w:rPr>
                <w:rFonts w:ascii="Arial" w:hAnsi="Arial" w:cs="Arial"/>
                <w:iCs/>
              </w:rPr>
              <w:t xml:space="preserve"> </w:t>
            </w:r>
            <w:r w:rsidR="00853712" w:rsidRPr="001E53FF">
              <w:rPr>
                <w:rFonts w:ascii="Arial" w:hAnsi="Arial" w:cs="Arial"/>
                <w:iCs/>
              </w:rPr>
              <w:t>draft industry guidance documents</w:t>
            </w:r>
          </w:p>
          <w:p w:rsidR="00853712" w:rsidRPr="001E53FF" w:rsidRDefault="00853712" w:rsidP="001E53FF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 w:rsidRPr="001E53FF">
              <w:rPr>
                <w:rFonts w:ascii="Arial" w:hAnsi="Arial" w:cs="Arial"/>
                <w:iCs/>
              </w:rPr>
              <w:t>NCC subsidised £25 ½ day workshop</w:t>
            </w:r>
          </w:p>
          <w:p w:rsidR="00853712" w:rsidRPr="001E53FF" w:rsidRDefault="00853712" w:rsidP="001E53FF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 w:rsidRPr="001E53FF">
              <w:rPr>
                <w:rFonts w:ascii="Arial" w:hAnsi="Arial" w:cs="Arial"/>
                <w:iCs/>
              </w:rPr>
              <w:t>CDM compliant products</w:t>
            </w:r>
            <w:r w:rsidR="00536A6C">
              <w:rPr>
                <w:rFonts w:ascii="Arial" w:hAnsi="Arial" w:cs="Arial"/>
                <w:iCs/>
              </w:rPr>
              <w:t xml:space="preserve"> and publications</w:t>
            </w:r>
          </w:p>
          <w:p w:rsidR="00853712" w:rsidRPr="001E53FF" w:rsidRDefault="002E3131" w:rsidP="001E53FF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Builders</w:t>
            </w:r>
            <w:r w:rsidR="0018726D">
              <w:rPr>
                <w:rFonts w:ascii="Arial" w:hAnsi="Arial" w:cs="Arial"/>
                <w:iCs/>
              </w:rPr>
              <w:t>’</w:t>
            </w:r>
            <w:r w:rsidR="00FC39B0">
              <w:rPr>
                <w:rFonts w:ascii="Arial" w:hAnsi="Arial" w:cs="Arial"/>
                <w:iCs/>
              </w:rPr>
              <w:t xml:space="preserve"> M</w:t>
            </w:r>
            <w:r w:rsidR="001E53FF" w:rsidRPr="001E53FF">
              <w:rPr>
                <w:rFonts w:ascii="Arial" w:hAnsi="Arial" w:cs="Arial"/>
                <w:iCs/>
              </w:rPr>
              <w:t>erchants engagement</w:t>
            </w:r>
            <w:r w:rsidR="0018726D">
              <w:rPr>
                <w:rFonts w:ascii="Arial" w:hAnsi="Arial" w:cs="Arial"/>
                <w:iCs/>
              </w:rPr>
              <w:t>.</w:t>
            </w:r>
          </w:p>
          <w:p w:rsidR="001E53FF" w:rsidRDefault="001E53FF" w:rsidP="00853712">
            <w:pPr>
              <w:contextualSpacing/>
              <w:rPr>
                <w:rFonts w:ascii="Arial" w:hAnsi="Arial" w:cs="Arial"/>
                <w:iCs/>
              </w:rPr>
            </w:pPr>
          </w:p>
          <w:p w:rsidR="000B09E8" w:rsidRDefault="000B09E8" w:rsidP="000B09E8">
            <w:pPr>
              <w:contextualSpacing/>
              <w:jc w:val="center"/>
              <w:rPr>
                <w:rFonts w:ascii="Arial" w:hAnsi="Arial" w:cs="Arial"/>
                <w:iCs/>
              </w:rPr>
            </w:pPr>
            <w:r w:rsidRPr="000B09E8">
              <w:rPr>
                <w:rFonts w:ascii="Arial" w:hAnsi="Arial" w:cs="Arial"/>
                <w:iCs/>
                <w:noProof/>
                <w:lang w:eastAsia="en-GB"/>
              </w:rPr>
              <w:drawing>
                <wp:inline distT="0" distB="0" distL="0" distR="0" wp14:anchorId="48DAD7FB" wp14:editId="0E9CA50F">
                  <wp:extent cx="1164566" cy="1250830"/>
                  <wp:effectExtent l="0" t="0" r="0" b="6985"/>
                  <wp:docPr id="40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02" cy="125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B09E8" w:rsidRDefault="000B09E8" w:rsidP="00853712">
            <w:pPr>
              <w:contextualSpacing/>
              <w:rPr>
                <w:rFonts w:ascii="Arial" w:hAnsi="Arial" w:cs="Arial"/>
                <w:iCs/>
              </w:rPr>
            </w:pPr>
          </w:p>
          <w:p w:rsidR="00853712" w:rsidRPr="00853712" w:rsidRDefault="002E3131" w:rsidP="00853712">
            <w:pPr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Some early engagement indicators:</w:t>
            </w:r>
          </w:p>
          <w:p w:rsidR="002E3131" w:rsidRPr="002E3131" w:rsidRDefault="002E3131" w:rsidP="002E313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 w:rsidRPr="002E3131">
              <w:rPr>
                <w:rFonts w:ascii="Arial" w:hAnsi="Arial" w:cs="Arial"/>
                <w:iCs/>
              </w:rPr>
              <w:t xml:space="preserve">42,178 – visits to </w:t>
            </w:r>
            <w:r w:rsidRPr="00DB394E">
              <w:rPr>
                <w:rFonts w:ascii="Arial" w:hAnsi="Arial" w:cs="Arial"/>
                <w:b/>
                <w:iCs/>
                <w:color w:val="7030A0"/>
              </w:rPr>
              <w:t>citb.co.uk/</w:t>
            </w:r>
            <w:proofErr w:type="spellStart"/>
            <w:r w:rsidRPr="00DB394E">
              <w:rPr>
                <w:rFonts w:ascii="Arial" w:hAnsi="Arial" w:cs="Arial"/>
                <w:b/>
                <w:iCs/>
                <w:color w:val="7030A0"/>
              </w:rPr>
              <w:t>cdmregs</w:t>
            </w:r>
            <w:proofErr w:type="spellEnd"/>
          </w:p>
          <w:p w:rsidR="002E3131" w:rsidRPr="002E3131" w:rsidRDefault="002E3131" w:rsidP="002E313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 w:rsidRPr="002E3131">
              <w:rPr>
                <w:rFonts w:ascii="Arial" w:hAnsi="Arial" w:cs="Arial"/>
                <w:iCs/>
              </w:rPr>
              <w:t>42,250 – guidance documents downloaded</w:t>
            </w:r>
          </w:p>
          <w:p w:rsidR="002E3131" w:rsidRPr="002E3131" w:rsidRDefault="002E3131" w:rsidP="002E313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 w:rsidRPr="002E3131">
              <w:rPr>
                <w:rFonts w:ascii="Arial" w:hAnsi="Arial" w:cs="Arial"/>
                <w:iCs/>
              </w:rPr>
              <w:t>1,757 – workshops booked</w:t>
            </w:r>
          </w:p>
          <w:p w:rsidR="002E3131" w:rsidRPr="002E3131" w:rsidRDefault="002E3131" w:rsidP="002E313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iCs/>
              </w:rPr>
            </w:pPr>
            <w:r w:rsidRPr="002E3131">
              <w:rPr>
                <w:rFonts w:ascii="Arial" w:hAnsi="Arial" w:cs="Arial"/>
                <w:iCs/>
              </w:rPr>
              <w:t>300+ – apps downloaded</w:t>
            </w:r>
            <w:r w:rsidR="0018726D">
              <w:rPr>
                <w:rFonts w:ascii="Arial" w:hAnsi="Arial" w:cs="Arial"/>
                <w:iCs/>
              </w:rPr>
              <w:t>.</w:t>
            </w:r>
          </w:p>
          <w:p w:rsidR="00853712" w:rsidRDefault="00853712" w:rsidP="00853712">
            <w:pPr>
              <w:contextualSpacing/>
              <w:rPr>
                <w:rFonts w:ascii="Arial" w:hAnsi="Arial" w:cs="Arial"/>
                <w:iCs/>
              </w:rPr>
            </w:pPr>
          </w:p>
          <w:p w:rsidR="00853712" w:rsidRPr="00853712" w:rsidRDefault="00484F2E" w:rsidP="00B77CDE">
            <w:pPr>
              <w:contextualSpacing/>
              <w:rPr>
                <w:rFonts w:ascii="Arial" w:hAnsi="Arial" w:cs="Arial"/>
                <w:iCs/>
              </w:rPr>
            </w:pPr>
            <w:r w:rsidRPr="00484F2E">
              <w:rPr>
                <w:rFonts w:ascii="Arial" w:hAnsi="Arial" w:cs="Arial"/>
                <w:b/>
                <w:iCs/>
              </w:rPr>
              <w:t>CDM Wizard app</w:t>
            </w:r>
            <w:r>
              <w:rPr>
                <w:rFonts w:ascii="Arial" w:hAnsi="Arial" w:cs="Arial"/>
                <w:iCs/>
              </w:rPr>
              <w:t xml:space="preserve"> –</w:t>
            </w:r>
            <w:r w:rsidR="0018726D">
              <w:rPr>
                <w:rFonts w:ascii="Arial" w:hAnsi="Arial" w:cs="Arial"/>
                <w:iCs/>
              </w:rPr>
              <w:t xml:space="preserve"> although </w:t>
            </w:r>
            <w:r w:rsidR="00536A6C">
              <w:rPr>
                <w:rFonts w:ascii="Arial" w:hAnsi="Arial" w:cs="Arial"/>
                <w:iCs/>
              </w:rPr>
              <w:t xml:space="preserve">our free app is </w:t>
            </w:r>
            <w:r>
              <w:rPr>
                <w:rFonts w:ascii="Arial" w:hAnsi="Arial" w:cs="Arial"/>
                <w:iCs/>
              </w:rPr>
              <w:t>targeted primarily at micros and small companies, we are hearing that larger organisations are also using it, and it is also being used for training purposes.</w:t>
            </w:r>
            <w:r w:rsidR="00506CE4">
              <w:rPr>
                <w:rFonts w:ascii="Arial" w:hAnsi="Arial" w:cs="Arial"/>
                <w:iCs/>
              </w:rPr>
              <w:t xml:space="preserve">  </w:t>
            </w:r>
            <w:r w:rsidR="002E7A91">
              <w:rPr>
                <w:rFonts w:ascii="Arial" w:hAnsi="Arial" w:cs="Arial"/>
                <w:iCs/>
              </w:rPr>
              <w:t xml:space="preserve">It’s </w:t>
            </w:r>
            <w:r w:rsidR="00506CE4">
              <w:rPr>
                <w:rFonts w:ascii="Arial" w:hAnsi="Arial" w:cs="Arial"/>
                <w:iCs/>
              </w:rPr>
              <w:t xml:space="preserve">also </w:t>
            </w:r>
            <w:r w:rsidR="002E7A91">
              <w:rPr>
                <w:rFonts w:ascii="Arial" w:hAnsi="Arial" w:cs="Arial"/>
                <w:iCs/>
              </w:rPr>
              <w:t>featured in HSE’s Co</w:t>
            </w:r>
            <w:r w:rsidR="00506CE4">
              <w:rPr>
                <w:rFonts w:ascii="Arial" w:hAnsi="Arial" w:cs="Arial"/>
                <w:iCs/>
              </w:rPr>
              <w:t>nstruction Inspectors briefings and m</w:t>
            </w:r>
            <w:r w:rsidR="002E7A91">
              <w:rPr>
                <w:rFonts w:ascii="Arial" w:hAnsi="Arial" w:cs="Arial"/>
                <w:iCs/>
              </w:rPr>
              <w:t xml:space="preserve">entioned in the </w:t>
            </w:r>
            <w:r w:rsidR="00536A6C">
              <w:rPr>
                <w:rFonts w:ascii="Arial" w:hAnsi="Arial" w:cs="Arial"/>
                <w:iCs/>
              </w:rPr>
              <w:t>HSE ‘</w:t>
            </w:r>
            <w:r w:rsidR="002E7A91">
              <w:rPr>
                <w:rFonts w:ascii="Arial" w:hAnsi="Arial" w:cs="Arial"/>
                <w:iCs/>
              </w:rPr>
              <w:t>L</w:t>
            </w:r>
            <w:r w:rsidR="00536A6C">
              <w:rPr>
                <w:rFonts w:ascii="Arial" w:hAnsi="Arial" w:cs="Arial"/>
                <w:iCs/>
              </w:rPr>
              <w:t>’</w:t>
            </w:r>
            <w:r w:rsidR="002E7A91">
              <w:rPr>
                <w:rFonts w:ascii="Arial" w:hAnsi="Arial" w:cs="Arial"/>
                <w:iCs/>
              </w:rPr>
              <w:t xml:space="preserve"> Series </w:t>
            </w:r>
            <w:r w:rsidR="00536A6C">
              <w:rPr>
                <w:rFonts w:ascii="Arial" w:hAnsi="Arial" w:cs="Arial"/>
                <w:iCs/>
              </w:rPr>
              <w:t>guidance</w:t>
            </w:r>
            <w:r w:rsidR="002E7A91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566" w:type="dxa"/>
          </w:tcPr>
          <w:p w:rsidR="002E3131" w:rsidRPr="001E53FF" w:rsidRDefault="002E3131" w:rsidP="002E3131">
            <w:pPr>
              <w:contextualSpacing/>
              <w:rPr>
                <w:rFonts w:ascii="Arial" w:hAnsi="Arial" w:cs="Arial"/>
                <w:b/>
                <w:iCs/>
              </w:rPr>
            </w:pPr>
            <w:r w:rsidRPr="001E53FF">
              <w:rPr>
                <w:rFonts w:ascii="Arial" w:hAnsi="Arial" w:cs="Arial"/>
                <w:b/>
                <w:iCs/>
              </w:rPr>
              <w:t>CITB activity underway:</w:t>
            </w:r>
          </w:p>
          <w:p w:rsidR="002E3131" w:rsidRPr="00EC1A54" w:rsidRDefault="002E3131" w:rsidP="002E3131">
            <w:pPr>
              <w:contextualSpacing/>
              <w:rPr>
                <w:rFonts w:ascii="Arial" w:hAnsi="Arial" w:cs="Arial"/>
                <w:iCs/>
              </w:rPr>
            </w:pPr>
            <w:r w:rsidRPr="00EC1A54">
              <w:rPr>
                <w:rFonts w:ascii="Arial" w:hAnsi="Arial" w:cs="Arial"/>
                <w:iCs/>
              </w:rPr>
              <w:t>Marketing campaign</w:t>
            </w:r>
          </w:p>
          <w:p w:rsidR="002E3131" w:rsidRDefault="002E3131" w:rsidP="002E3131">
            <w:p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Aimed primarily at hard-to-reach micro companies, our high impact ‘Safety Sorted’ campaign will start from 2 March:</w:t>
            </w:r>
          </w:p>
          <w:p w:rsidR="002E3131" w:rsidRPr="001E53FF" w:rsidRDefault="002E3131" w:rsidP="002E31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iCs/>
              </w:rPr>
            </w:pPr>
            <w:r w:rsidRPr="001E53FF">
              <w:rPr>
                <w:rFonts w:ascii="Arial" w:hAnsi="Arial" w:cs="Arial"/>
                <w:iCs/>
              </w:rPr>
              <w:t>digital activity, on mobiles and around social media sites</w:t>
            </w:r>
          </w:p>
          <w:p w:rsidR="002E3131" w:rsidRPr="001E53FF" w:rsidRDefault="00B77CDE" w:rsidP="002E31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</w:t>
            </w:r>
            <w:r w:rsidR="002E3131" w:rsidRPr="001E53FF">
              <w:rPr>
                <w:rFonts w:ascii="Arial" w:hAnsi="Arial" w:cs="Arial"/>
                <w:iCs/>
              </w:rPr>
              <w:t>ey trade press advertisements</w:t>
            </w:r>
          </w:p>
          <w:p w:rsidR="002E3131" w:rsidRPr="001E53FF" w:rsidRDefault="002E3131" w:rsidP="002E31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iCs/>
              </w:rPr>
            </w:pPr>
            <w:proofErr w:type="spellStart"/>
            <w:r w:rsidRPr="001E53FF">
              <w:rPr>
                <w:rFonts w:ascii="Arial" w:hAnsi="Arial" w:cs="Arial"/>
                <w:iCs/>
              </w:rPr>
              <w:t>TalkSport</w:t>
            </w:r>
            <w:proofErr w:type="spellEnd"/>
            <w:r w:rsidRPr="001E53FF">
              <w:rPr>
                <w:rFonts w:ascii="Arial" w:hAnsi="Arial" w:cs="Arial"/>
                <w:iCs/>
              </w:rPr>
              <w:t xml:space="preserve"> radio pilot</w:t>
            </w:r>
          </w:p>
          <w:p w:rsidR="002E3131" w:rsidRPr="001E53FF" w:rsidRDefault="006E2775" w:rsidP="002E31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="002E3131" w:rsidRPr="001E53FF">
              <w:rPr>
                <w:rFonts w:ascii="Arial" w:hAnsi="Arial" w:cs="Arial"/>
                <w:iCs/>
              </w:rPr>
              <w:t>irect mail</w:t>
            </w:r>
            <w:r>
              <w:rPr>
                <w:rFonts w:ascii="Arial" w:hAnsi="Arial" w:cs="Arial"/>
                <w:iCs/>
              </w:rPr>
              <w:t xml:space="preserve"> and email</w:t>
            </w:r>
          </w:p>
          <w:p w:rsidR="002E3131" w:rsidRDefault="006E2775" w:rsidP="002E31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</w:t>
            </w:r>
            <w:r w:rsidR="002E3131" w:rsidRPr="001E53FF">
              <w:rPr>
                <w:rFonts w:ascii="Arial" w:hAnsi="Arial" w:cs="Arial"/>
                <w:iCs/>
              </w:rPr>
              <w:t>ndustry partner material</w:t>
            </w:r>
            <w:r>
              <w:rPr>
                <w:rFonts w:ascii="Arial" w:hAnsi="Arial" w:cs="Arial"/>
                <w:iCs/>
              </w:rPr>
              <w:t xml:space="preserve"> ‘toolkit’</w:t>
            </w:r>
          </w:p>
          <w:p w:rsidR="002E3131" w:rsidRDefault="006E2775" w:rsidP="002E31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Arial" w:hAnsi="Arial" w:cs="Arial"/>
                <w:iCs/>
              </w:rPr>
              <w:t>d</w:t>
            </w:r>
            <w:r w:rsidR="002E3131" w:rsidRPr="001E53FF">
              <w:rPr>
                <w:rFonts w:ascii="Arial" w:hAnsi="Arial" w:cs="Arial"/>
                <w:iCs/>
              </w:rPr>
              <w:t>igital</w:t>
            </w:r>
            <w:proofErr w:type="gramEnd"/>
            <w:r w:rsidR="002E3131" w:rsidRPr="001E53FF">
              <w:rPr>
                <w:rFonts w:ascii="Arial" w:hAnsi="Arial" w:cs="Arial"/>
                <w:iCs/>
              </w:rPr>
              <w:t xml:space="preserve"> content </w:t>
            </w:r>
            <w:r w:rsidR="002E3131">
              <w:rPr>
                <w:rFonts w:ascii="Arial" w:hAnsi="Arial" w:cs="Arial"/>
                <w:iCs/>
              </w:rPr>
              <w:t xml:space="preserve">marketing plan </w:t>
            </w:r>
            <w:r w:rsidR="002E3131" w:rsidRPr="001E53FF">
              <w:rPr>
                <w:rFonts w:ascii="Arial" w:hAnsi="Arial" w:cs="Arial"/>
                <w:iCs/>
              </w:rPr>
              <w:t>including animation</w:t>
            </w:r>
            <w:r w:rsidR="002E3131">
              <w:rPr>
                <w:rFonts w:ascii="Arial" w:hAnsi="Arial" w:cs="Arial"/>
                <w:iCs/>
              </w:rPr>
              <w:t>s and videos</w:t>
            </w:r>
            <w:r w:rsidR="0018726D">
              <w:rPr>
                <w:rFonts w:ascii="Arial" w:hAnsi="Arial" w:cs="Arial"/>
                <w:iCs/>
              </w:rPr>
              <w:t>.</w:t>
            </w:r>
          </w:p>
          <w:p w:rsidR="006515E0" w:rsidRPr="001E53FF" w:rsidRDefault="00EC1A54" w:rsidP="00EC1A54">
            <w:pPr>
              <w:pStyle w:val="ListParagraph"/>
              <w:ind w:left="360"/>
              <w:contextualSpacing/>
              <w:jc w:val="center"/>
              <w:rPr>
                <w:rFonts w:ascii="Arial" w:hAnsi="Arial" w:cs="Arial"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BC1DF" wp14:editId="5BE98FB5">
                  <wp:extent cx="1838210" cy="252753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661" cy="252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131" w:rsidRDefault="002E3131" w:rsidP="00A33679">
            <w:pPr>
              <w:contextualSpacing/>
              <w:jc w:val="center"/>
              <w:rPr>
                <w:rFonts w:ascii="Arial" w:hAnsi="Arial" w:cs="Arial"/>
                <w:iCs/>
              </w:rPr>
            </w:pPr>
          </w:p>
          <w:p w:rsidR="002E3131" w:rsidRPr="006515E0" w:rsidRDefault="002E3131" w:rsidP="002E3131">
            <w:pPr>
              <w:contextualSpacing/>
              <w:rPr>
                <w:rFonts w:ascii="Arial" w:hAnsi="Arial" w:cs="Arial"/>
                <w:iCs/>
              </w:rPr>
            </w:pPr>
            <w:r w:rsidRPr="006515E0">
              <w:rPr>
                <w:rFonts w:ascii="Arial" w:hAnsi="Arial" w:cs="Arial"/>
                <w:iCs/>
              </w:rPr>
              <w:t>Also:</w:t>
            </w:r>
          </w:p>
          <w:p w:rsidR="002E3131" w:rsidRPr="001E53FF" w:rsidRDefault="002E3131" w:rsidP="002E313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iCs/>
              </w:rPr>
            </w:pPr>
            <w:r w:rsidRPr="001E53FF">
              <w:rPr>
                <w:rFonts w:ascii="Arial" w:hAnsi="Arial" w:cs="Arial"/>
                <w:iCs/>
              </w:rPr>
              <w:t xml:space="preserve">CDM Wizard App </w:t>
            </w:r>
            <w:r w:rsidR="00536A6C">
              <w:rPr>
                <w:rFonts w:ascii="Arial" w:hAnsi="Arial" w:cs="Arial"/>
                <w:iCs/>
              </w:rPr>
              <w:t>i</w:t>
            </w:r>
            <w:r w:rsidRPr="001E53FF">
              <w:rPr>
                <w:rFonts w:ascii="Arial" w:hAnsi="Arial" w:cs="Arial"/>
                <w:iCs/>
              </w:rPr>
              <w:t>OS version</w:t>
            </w:r>
            <w:r w:rsidR="00536A6C">
              <w:rPr>
                <w:rFonts w:ascii="Arial" w:hAnsi="Arial" w:cs="Arial"/>
                <w:iCs/>
              </w:rPr>
              <w:t xml:space="preserve"> (Apple)</w:t>
            </w:r>
          </w:p>
          <w:p w:rsidR="002E3131" w:rsidRDefault="002E3131" w:rsidP="002E313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iCs/>
              </w:rPr>
            </w:pPr>
            <w:r w:rsidRPr="001E53FF">
              <w:rPr>
                <w:rFonts w:ascii="Arial" w:hAnsi="Arial" w:cs="Arial"/>
                <w:iCs/>
              </w:rPr>
              <w:t>Advisory Forums employer briefings</w:t>
            </w:r>
          </w:p>
          <w:p w:rsidR="002E3131" w:rsidRDefault="002E3131" w:rsidP="002E313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Qualitative research in March and October</w:t>
            </w:r>
            <w:r w:rsidR="0018726D">
              <w:rPr>
                <w:rFonts w:ascii="Arial" w:hAnsi="Arial" w:cs="Arial"/>
                <w:iCs/>
              </w:rPr>
              <w:t>.</w:t>
            </w:r>
          </w:p>
          <w:p w:rsidR="002E3131" w:rsidRPr="001E53FF" w:rsidRDefault="002E3131" w:rsidP="002E3131">
            <w:pPr>
              <w:pStyle w:val="ListParagraph"/>
              <w:ind w:left="360"/>
              <w:contextualSpacing/>
              <w:rPr>
                <w:rFonts w:ascii="Arial" w:hAnsi="Arial" w:cs="Arial"/>
                <w:iCs/>
              </w:rPr>
            </w:pPr>
          </w:p>
          <w:p w:rsidR="00484F2E" w:rsidRPr="006E2775" w:rsidRDefault="00484F2E" w:rsidP="005A4BDB">
            <w:pPr>
              <w:rPr>
                <w:rFonts w:ascii="Arial" w:hAnsi="Arial" w:cs="Arial"/>
                <w:b/>
              </w:rPr>
            </w:pPr>
            <w:r w:rsidRPr="006E2775">
              <w:rPr>
                <w:rFonts w:ascii="Arial" w:hAnsi="Arial" w:cs="Arial"/>
                <w:b/>
              </w:rPr>
              <w:t>How you can help</w:t>
            </w:r>
            <w:r w:rsidR="006E2775">
              <w:rPr>
                <w:rFonts w:ascii="Arial" w:hAnsi="Arial" w:cs="Arial"/>
                <w:b/>
              </w:rPr>
              <w:t xml:space="preserve"> us achieve early compliance</w:t>
            </w:r>
          </w:p>
          <w:p w:rsidR="006E2775" w:rsidRDefault="00484F2E" w:rsidP="005A4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advise your members</w:t>
            </w:r>
            <w:r w:rsidR="006E2775">
              <w:rPr>
                <w:rFonts w:ascii="Arial" w:hAnsi="Arial" w:cs="Arial"/>
              </w:rPr>
              <w:t>:</w:t>
            </w:r>
          </w:p>
          <w:p w:rsidR="00484F2E" w:rsidRPr="00506CE4" w:rsidRDefault="006E2775" w:rsidP="00506CE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06CE4">
              <w:rPr>
                <w:rFonts w:ascii="Arial" w:hAnsi="Arial" w:cs="Arial"/>
              </w:rPr>
              <w:t>t</w:t>
            </w:r>
            <w:r w:rsidR="00484F2E" w:rsidRPr="00506CE4">
              <w:rPr>
                <w:rFonts w:ascii="Arial" w:hAnsi="Arial" w:cs="Arial"/>
              </w:rPr>
              <w:t>o download the final industry guidance documents on 6 April, even if they have already downloaded the draft documents</w:t>
            </w:r>
            <w:r w:rsidR="00536A6C">
              <w:rPr>
                <w:rFonts w:ascii="Arial" w:hAnsi="Arial" w:cs="Arial"/>
              </w:rPr>
              <w:t xml:space="preserve"> (there have been changes)</w:t>
            </w:r>
          </w:p>
          <w:p w:rsidR="00484F2E" w:rsidRPr="00506CE4" w:rsidRDefault="00484F2E" w:rsidP="00506CE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proofErr w:type="gramStart"/>
            <w:r w:rsidRPr="00506CE4">
              <w:rPr>
                <w:rFonts w:ascii="Arial" w:hAnsi="Arial" w:cs="Arial"/>
              </w:rPr>
              <w:t>to</w:t>
            </w:r>
            <w:proofErr w:type="gramEnd"/>
            <w:r w:rsidRPr="00506CE4">
              <w:rPr>
                <w:rFonts w:ascii="Arial" w:hAnsi="Arial" w:cs="Arial"/>
              </w:rPr>
              <w:t xml:space="preserve"> go to </w:t>
            </w:r>
            <w:hyperlink r:id="rId9" w:history="1">
              <w:r w:rsidRPr="00DB394E">
                <w:rPr>
                  <w:rStyle w:val="Hyperlink"/>
                  <w:rFonts w:ascii="Arial" w:hAnsi="Arial" w:cs="Arial"/>
                  <w:b/>
                  <w:color w:val="7030A0"/>
                  <w:u w:val="none"/>
                </w:rPr>
                <w:t>citb.co.uk/</w:t>
              </w:r>
              <w:proofErr w:type="spellStart"/>
              <w:r w:rsidRPr="00DB394E">
                <w:rPr>
                  <w:rStyle w:val="Hyperlink"/>
                  <w:rFonts w:ascii="Arial" w:hAnsi="Arial" w:cs="Arial"/>
                  <w:b/>
                  <w:color w:val="7030A0"/>
                  <w:u w:val="none"/>
                </w:rPr>
                <w:t>cdmregs</w:t>
              </w:r>
              <w:proofErr w:type="spellEnd"/>
            </w:hyperlink>
            <w:r w:rsidRPr="00506CE4">
              <w:rPr>
                <w:rFonts w:ascii="Arial" w:hAnsi="Arial" w:cs="Arial"/>
              </w:rPr>
              <w:t xml:space="preserve"> for the latest information, to book a course or download the </w:t>
            </w:r>
            <w:r w:rsidR="00536A6C">
              <w:rPr>
                <w:rFonts w:ascii="Arial" w:hAnsi="Arial" w:cs="Arial"/>
              </w:rPr>
              <w:t>A</w:t>
            </w:r>
            <w:r w:rsidRPr="00506CE4">
              <w:rPr>
                <w:rFonts w:ascii="Arial" w:hAnsi="Arial" w:cs="Arial"/>
              </w:rPr>
              <w:t>pp.</w:t>
            </w:r>
          </w:p>
          <w:p w:rsidR="006515E0" w:rsidRDefault="006515E0" w:rsidP="005A4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 us spread the word by </w:t>
            </w:r>
          </w:p>
          <w:p w:rsidR="002E3131" w:rsidRPr="00506CE4" w:rsidRDefault="00506CE4" w:rsidP="00506CE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06CE4">
              <w:rPr>
                <w:rFonts w:ascii="Arial" w:hAnsi="Arial" w:cs="Arial"/>
              </w:rPr>
              <w:t xml:space="preserve">Putting </w:t>
            </w:r>
            <w:r w:rsidR="006515E0" w:rsidRPr="00506CE4">
              <w:rPr>
                <w:rFonts w:ascii="Arial" w:hAnsi="Arial" w:cs="Arial"/>
              </w:rPr>
              <w:t xml:space="preserve">our promotional box on your website to take people to </w:t>
            </w:r>
            <w:r w:rsidR="006515E0" w:rsidRPr="00DB394E">
              <w:rPr>
                <w:rFonts w:ascii="Arial" w:hAnsi="Arial" w:cs="Arial"/>
                <w:b/>
                <w:color w:val="7030A0"/>
              </w:rPr>
              <w:t>citb.co.uk/</w:t>
            </w:r>
            <w:proofErr w:type="spellStart"/>
            <w:r w:rsidR="006515E0" w:rsidRPr="00DB394E">
              <w:rPr>
                <w:rFonts w:ascii="Arial" w:hAnsi="Arial" w:cs="Arial"/>
                <w:b/>
                <w:color w:val="7030A0"/>
              </w:rPr>
              <w:t>cdmregs</w:t>
            </w:r>
            <w:proofErr w:type="spellEnd"/>
          </w:p>
          <w:p w:rsidR="006515E0" w:rsidRPr="00506CE4" w:rsidRDefault="006515E0" w:rsidP="00506CE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06CE4">
              <w:rPr>
                <w:rFonts w:ascii="Arial" w:hAnsi="Arial" w:cs="Arial"/>
              </w:rPr>
              <w:t>Handing out business cards with the web address on them at your local, regional and national events.</w:t>
            </w:r>
          </w:p>
          <w:p w:rsidR="00506CE4" w:rsidRDefault="00506CE4" w:rsidP="005A4BDB">
            <w:pPr>
              <w:rPr>
                <w:rFonts w:ascii="Arial" w:hAnsi="Arial" w:cs="Arial"/>
              </w:rPr>
            </w:pPr>
          </w:p>
          <w:p w:rsidR="00110D88" w:rsidRDefault="00110D88" w:rsidP="005A4BDB">
            <w:pPr>
              <w:rPr>
                <w:rFonts w:ascii="Arial" w:hAnsi="Arial" w:cs="Arial"/>
              </w:rPr>
            </w:pPr>
          </w:p>
          <w:p w:rsidR="003E73B6" w:rsidRPr="006515E0" w:rsidRDefault="005A4BDB" w:rsidP="005A4BDB">
            <w:pPr>
              <w:rPr>
                <w:rFonts w:ascii="Arial" w:hAnsi="Arial" w:cs="Arial"/>
                <w:b/>
              </w:rPr>
            </w:pPr>
            <w:r w:rsidRPr="006515E0">
              <w:rPr>
                <w:rFonts w:ascii="Arial" w:hAnsi="Arial" w:cs="Arial"/>
                <w:b/>
              </w:rPr>
              <w:t>Further information from: Fiona Wilson, Marketing Manager, CITB.  Fiona.wilson@citb.co.uk.</w:t>
            </w:r>
            <w:r w:rsidR="003E73B6" w:rsidRPr="006515E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E73B6" w:rsidRDefault="003E73B6" w:rsidP="003E73B6">
      <w:pPr>
        <w:rPr>
          <w:rFonts w:ascii="Arial" w:hAnsi="Arial" w:cs="Arial"/>
          <w:sz w:val="20"/>
          <w:szCs w:val="20"/>
        </w:rPr>
      </w:pPr>
    </w:p>
    <w:sectPr w:rsidR="003E73B6" w:rsidSect="00AA7CD2">
      <w:headerReference w:type="default" r:id="rId10"/>
      <w:footerReference w:type="default" r:id="rId11"/>
      <w:pgSz w:w="11906" w:h="16838"/>
      <w:pgMar w:top="1672" w:right="424" w:bottom="284" w:left="567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15" w:rsidRDefault="00EC5715" w:rsidP="001C0D4B">
      <w:pPr>
        <w:spacing w:after="0" w:line="240" w:lineRule="auto"/>
      </w:pPr>
      <w:r>
        <w:separator/>
      </w:r>
    </w:p>
  </w:endnote>
  <w:endnote w:type="continuationSeparator" w:id="0">
    <w:p w:rsidR="00EC5715" w:rsidRDefault="00EC5715" w:rsidP="001C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AA1" w:rsidRPr="00892AA1" w:rsidRDefault="006515E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25 Feb </w:t>
    </w:r>
    <w:r w:rsidR="003E73B6">
      <w:rPr>
        <w:rFonts w:ascii="Arial" w:hAnsi="Arial" w:cs="Arial"/>
        <w:sz w:val="20"/>
        <w:szCs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15" w:rsidRDefault="00EC5715" w:rsidP="001C0D4B">
      <w:pPr>
        <w:spacing w:after="0" w:line="240" w:lineRule="auto"/>
      </w:pPr>
      <w:r>
        <w:separator/>
      </w:r>
    </w:p>
  </w:footnote>
  <w:footnote w:type="continuationSeparator" w:id="0">
    <w:p w:rsidR="00EC5715" w:rsidRDefault="00EC5715" w:rsidP="001C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4B" w:rsidRDefault="001C0D4B" w:rsidP="001C0D4B">
    <w:pPr>
      <w:pStyle w:val="Header"/>
      <w:jc w:val="right"/>
      <w:rPr>
        <w:rFonts w:ascii="Arial" w:hAnsi="Arial" w:cs="Arial"/>
        <w:b/>
        <w:color w:val="808080" w:themeColor="background1" w:themeShade="80"/>
        <w:sz w:val="56"/>
        <w:szCs w:val="56"/>
      </w:rPr>
    </w:pPr>
    <w:r>
      <w:rPr>
        <w:rFonts w:ascii="Arial" w:hAnsi="Arial" w:cs="Arial"/>
        <w:b/>
        <w:color w:val="808080" w:themeColor="background1" w:themeShade="80"/>
        <w:sz w:val="56"/>
        <w:szCs w:val="56"/>
      </w:rPr>
      <w:t xml:space="preserve">          </w:t>
    </w:r>
    <w:r>
      <w:rPr>
        <w:rFonts w:ascii="Arial" w:hAnsi="Arial" w:cs="Arial"/>
        <w:b/>
        <w:color w:val="808080" w:themeColor="background1" w:themeShade="80"/>
        <w:sz w:val="56"/>
        <w:szCs w:val="56"/>
      </w:rPr>
      <w:tab/>
    </w:r>
    <w:r>
      <w:rPr>
        <w:rFonts w:ascii="Arial" w:hAnsi="Arial" w:cs="Arial"/>
        <w:b/>
        <w:noProof/>
        <w:color w:val="FFFFFF" w:themeColor="background1"/>
        <w:sz w:val="56"/>
        <w:szCs w:val="56"/>
        <w:lang w:eastAsia="en-GB"/>
      </w:rPr>
      <w:drawing>
        <wp:inline distT="0" distB="0" distL="0" distR="0" wp14:anchorId="753C7E5D" wp14:editId="2CC8B324">
          <wp:extent cx="1465639" cy="55245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878" cy="55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232" w:rsidRPr="00832727" w:rsidRDefault="00D67232" w:rsidP="00D67232">
    <w:pPr>
      <w:pStyle w:val="Header"/>
      <w:rPr>
        <w:rFonts w:ascii="Arial" w:hAnsi="Arial" w:cs="Arial"/>
        <w:b/>
        <w:color w:val="808080" w:themeColor="background1" w:themeShade="80"/>
        <w:sz w:val="48"/>
        <w:szCs w:val="48"/>
      </w:rPr>
    </w:pPr>
    <w:r w:rsidRPr="00832727">
      <w:rPr>
        <w:rFonts w:ascii="Arial" w:hAnsi="Arial" w:cs="Arial"/>
        <w:b/>
        <w:color w:val="808080" w:themeColor="background1" w:themeShade="80"/>
        <w:sz w:val="48"/>
        <w:szCs w:val="48"/>
      </w:rPr>
      <w:t xml:space="preserve">Brief for </w:t>
    </w:r>
    <w:r w:rsidR="00A64AA3">
      <w:rPr>
        <w:rFonts w:ascii="Arial" w:hAnsi="Arial" w:cs="Arial"/>
        <w:b/>
        <w:color w:val="808080" w:themeColor="background1" w:themeShade="80"/>
        <w:sz w:val="48"/>
        <w:szCs w:val="48"/>
      </w:rPr>
      <w:t>Federations</w:t>
    </w:r>
    <w:r w:rsidR="006D2491">
      <w:rPr>
        <w:rFonts w:ascii="Arial" w:hAnsi="Arial" w:cs="Arial"/>
        <w:b/>
        <w:color w:val="808080" w:themeColor="background1" w:themeShade="80"/>
        <w:sz w:val="48"/>
        <w:szCs w:val="48"/>
      </w:rPr>
      <w:t xml:space="preserve"> and</w:t>
    </w:r>
    <w:r w:rsidR="00A0060A">
      <w:rPr>
        <w:rFonts w:ascii="Arial" w:hAnsi="Arial" w:cs="Arial"/>
        <w:b/>
        <w:color w:val="808080" w:themeColor="background1" w:themeShade="80"/>
        <w:sz w:val="48"/>
        <w:szCs w:val="48"/>
      </w:rPr>
      <w:t xml:space="preserve"> Industry Partners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56"/>
    <w:multiLevelType w:val="hybridMultilevel"/>
    <w:tmpl w:val="6B925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05F73"/>
    <w:multiLevelType w:val="hybridMultilevel"/>
    <w:tmpl w:val="1940F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1FC9"/>
    <w:multiLevelType w:val="hybridMultilevel"/>
    <w:tmpl w:val="2CC05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B786D"/>
    <w:multiLevelType w:val="hybridMultilevel"/>
    <w:tmpl w:val="1AA8EB8E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11052A41"/>
    <w:multiLevelType w:val="hybridMultilevel"/>
    <w:tmpl w:val="83ACB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B0BBE"/>
    <w:multiLevelType w:val="hybridMultilevel"/>
    <w:tmpl w:val="5F744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D3BAD"/>
    <w:multiLevelType w:val="hybridMultilevel"/>
    <w:tmpl w:val="35686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C4652"/>
    <w:multiLevelType w:val="hybridMultilevel"/>
    <w:tmpl w:val="FF448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75BC8"/>
    <w:multiLevelType w:val="hybridMultilevel"/>
    <w:tmpl w:val="A9A0E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810CD"/>
    <w:multiLevelType w:val="hybridMultilevel"/>
    <w:tmpl w:val="8A0EA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C922EC"/>
    <w:multiLevelType w:val="hybridMultilevel"/>
    <w:tmpl w:val="FB847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B43DE"/>
    <w:multiLevelType w:val="hybridMultilevel"/>
    <w:tmpl w:val="1940F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77703"/>
    <w:multiLevelType w:val="hybridMultilevel"/>
    <w:tmpl w:val="DB06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C2A97"/>
    <w:multiLevelType w:val="hybridMultilevel"/>
    <w:tmpl w:val="40660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450CB"/>
    <w:multiLevelType w:val="hybridMultilevel"/>
    <w:tmpl w:val="8324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02D42"/>
    <w:multiLevelType w:val="hybridMultilevel"/>
    <w:tmpl w:val="038C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1C5D"/>
    <w:multiLevelType w:val="multilevel"/>
    <w:tmpl w:val="AE5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A0154"/>
    <w:multiLevelType w:val="hybridMultilevel"/>
    <w:tmpl w:val="57FA7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D706A1"/>
    <w:multiLevelType w:val="hybridMultilevel"/>
    <w:tmpl w:val="14DE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3481"/>
    <w:multiLevelType w:val="hybridMultilevel"/>
    <w:tmpl w:val="D30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01622"/>
    <w:multiLevelType w:val="hybridMultilevel"/>
    <w:tmpl w:val="A5287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22783"/>
    <w:multiLevelType w:val="hybridMultilevel"/>
    <w:tmpl w:val="08E6C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F85CFC"/>
    <w:multiLevelType w:val="hybridMultilevel"/>
    <w:tmpl w:val="F53800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CC6A67"/>
    <w:multiLevelType w:val="hybridMultilevel"/>
    <w:tmpl w:val="9F4EF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5C5A53"/>
    <w:multiLevelType w:val="hybridMultilevel"/>
    <w:tmpl w:val="C1323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C4077"/>
    <w:multiLevelType w:val="hybridMultilevel"/>
    <w:tmpl w:val="CB96B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1F312E"/>
    <w:multiLevelType w:val="hybridMultilevel"/>
    <w:tmpl w:val="477CD8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EA571E"/>
    <w:multiLevelType w:val="hybridMultilevel"/>
    <w:tmpl w:val="AA6A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0A2CBD"/>
    <w:multiLevelType w:val="hybridMultilevel"/>
    <w:tmpl w:val="01BE3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F70E15"/>
    <w:multiLevelType w:val="hybridMultilevel"/>
    <w:tmpl w:val="E3EC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74ED2"/>
    <w:multiLevelType w:val="hybridMultilevel"/>
    <w:tmpl w:val="3C388D14"/>
    <w:lvl w:ilvl="0" w:tplc="080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1">
    <w:nsid w:val="71E07794"/>
    <w:multiLevelType w:val="hybridMultilevel"/>
    <w:tmpl w:val="887EE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E07B07"/>
    <w:multiLevelType w:val="multilevel"/>
    <w:tmpl w:val="0966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C97038"/>
    <w:multiLevelType w:val="hybridMultilevel"/>
    <w:tmpl w:val="AAD40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230CE8"/>
    <w:multiLevelType w:val="hybridMultilevel"/>
    <w:tmpl w:val="ACB6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3"/>
  </w:num>
  <w:num w:numId="4">
    <w:abstractNumId w:val="3"/>
  </w:num>
  <w:num w:numId="5">
    <w:abstractNumId w:val="3"/>
  </w:num>
  <w:num w:numId="6">
    <w:abstractNumId w:val="23"/>
  </w:num>
  <w:num w:numId="7">
    <w:abstractNumId w:val="8"/>
  </w:num>
  <w:num w:numId="8">
    <w:abstractNumId w:val="24"/>
  </w:num>
  <w:num w:numId="9">
    <w:abstractNumId w:val="6"/>
  </w:num>
  <w:num w:numId="10">
    <w:abstractNumId w:val="29"/>
  </w:num>
  <w:num w:numId="11">
    <w:abstractNumId w:val="27"/>
  </w:num>
  <w:num w:numId="12">
    <w:abstractNumId w:val="21"/>
  </w:num>
  <w:num w:numId="13">
    <w:abstractNumId w:val="1"/>
  </w:num>
  <w:num w:numId="14">
    <w:abstractNumId w:val="16"/>
  </w:num>
  <w:num w:numId="15">
    <w:abstractNumId w:val="32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20"/>
  </w:num>
  <w:num w:numId="21">
    <w:abstractNumId w:val="5"/>
  </w:num>
  <w:num w:numId="22">
    <w:abstractNumId w:val="7"/>
  </w:num>
  <w:num w:numId="23">
    <w:abstractNumId w:val="2"/>
  </w:num>
  <w:num w:numId="24">
    <w:abstractNumId w:val="30"/>
  </w:num>
  <w:num w:numId="25">
    <w:abstractNumId w:val="17"/>
  </w:num>
  <w:num w:numId="26">
    <w:abstractNumId w:val="10"/>
  </w:num>
  <w:num w:numId="27">
    <w:abstractNumId w:val="12"/>
  </w:num>
  <w:num w:numId="28">
    <w:abstractNumId w:val="28"/>
  </w:num>
  <w:num w:numId="29">
    <w:abstractNumId w:val="4"/>
  </w:num>
  <w:num w:numId="30">
    <w:abstractNumId w:val="26"/>
  </w:num>
  <w:num w:numId="31">
    <w:abstractNumId w:val="9"/>
  </w:num>
  <w:num w:numId="32">
    <w:abstractNumId w:val="25"/>
  </w:num>
  <w:num w:numId="33">
    <w:abstractNumId w:val="31"/>
  </w:num>
  <w:num w:numId="34">
    <w:abstractNumId w:val="34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B"/>
    <w:rsid w:val="000567B7"/>
    <w:rsid w:val="00085FF3"/>
    <w:rsid w:val="00091077"/>
    <w:rsid w:val="000A3FC5"/>
    <w:rsid w:val="000B09E8"/>
    <w:rsid w:val="00110D88"/>
    <w:rsid w:val="00116EB2"/>
    <w:rsid w:val="00123718"/>
    <w:rsid w:val="00127807"/>
    <w:rsid w:val="001440FC"/>
    <w:rsid w:val="00154135"/>
    <w:rsid w:val="001557DC"/>
    <w:rsid w:val="00176ACD"/>
    <w:rsid w:val="0018726D"/>
    <w:rsid w:val="00190F27"/>
    <w:rsid w:val="001B74B3"/>
    <w:rsid w:val="001C0D4B"/>
    <w:rsid w:val="001D10AA"/>
    <w:rsid w:val="001D153B"/>
    <w:rsid w:val="001D63FD"/>
    <w:rsid w:val="001E23C8"/>
    <w:rsid w:val="001E53FF"/>
    <w:rsid w:val="00217206"/>
    <w:rsid w:val="00272FD3"/>
    <w:rsid w:val="002B721B"/>
    <w:rsid w:val="002C241A"/>
    <w:rsid w:val="002D303F"/>
    <w:rsid w:val="002E3131"/>
    <w:rsid w:val="002E6CE5"/>
    <w:rsid w:val="002E7A91"/>
    <w:rsid w:val="00312396"/>
    <w:rsid w:val="00363F13"/>
    <w:rsid w:val="0036600E"/>
    <w:rsid w:val="003758AC"/>
    <w:rsid w:val="003768C8"/>
    <w:rsid w:val="003807E2"/>
    <w:rsid w:val="003A4191"/>
    <w:rsid w:val="003A6618"/>
    <w:rsid w:val="003B49DF"/>
    <w:rsid w:val="003D0FD0"/>
    <w:rsid w:val="003E73B6"/>
    <w:rsid w:val="003F13E8"/>
    <w:rsid w:val="0041597F"/>
    <w:rsid w:val="004170B2"/>
    <w:rsid w:val="00446A9D"/>
    <w:rsid w:val="004479A0"/>
    <w:rsid w:val="00484F2E"/>
    <w:rsid w:val="00485716"/>
    <w:rsid w:val="00485F39"/>
    <w:rsid w:val="00496B1C"/>
    <w:rsid w:val="004A791C"/>
    <w:rsid w:val="004C70A3"/>
    <w:rsid w:val="004D6CCE"/>
    <w:rsid w:val="004E6801"/>
    <w:rsid w:val="004F40CC"/>
    <w:rsid w:val="0050108E"/>
    <w:rsid w:val="00505C00"/>
    <w:rsid w:val="00506CE4"/>
    <w:rsid w:val="00536A6C"/>
    <w:rsid w:val="00552C13"/>
    <w:rsid w:val="00554DC7"/>
    <w:rsid w:val="005618D1"/>
    <w:rsid w:val="0056198E"/>
    <w:rsid w:val="00567B08"/>
    <w:rsid w:val="005777CB"/>
    <w:rsid w:val="00577E03"/>
    <w:rsid w:val="0058176F"/>
    <w:rsid w:val="00594040"/>
    <w:rsid w:val="005A3D66"/>
    <w:rsid w:val="005A4BDB"/>
    <w:rsid w:val="005A77D8"/>
    <w:rsid w:val="005B4881"/>
    <w:rsid w:val="005C2AE7"/>
    <w:rsid w:val="005D0EBA"/>
    <w:rsid w:val="005D70F9"/>
    <w:rsid w:val="005E184F"/>
    <w:rsid w:val="005E1F74"/>
    <w:rsid w:val="005E5824"/>
    <w:rsid w:val="00627530"/>
    <w:rsid w:val="00631F05"/>
    <w:rsid w:val="00643C33"/>
    <w:rsid w:val="006515E0"/>
    <w:rsid w:val="00657876"/>
    <w:rsid w:val="006756CC"/>
    <w:rsid w:val="0068172C"/>
    <w:rsid w:val="00684247"/>
    <w:rsid w:val="006A098E"/>
    <w:rsid w:val="006C12A3"/>
    <w:rsid w:val="006C419D"/>
    <w:rsid w:val="006D2491"/>
    <w:rsid w:val="006D7A90"/>
    <w:rsid w:val="006E2775"/>
    <w:rsid w:val="00700F12"/>
    <w:rsid w:val="00701368"/>
    <w:rsid w:val="00707ED0"/>
    <w:rsid w:val="007123D0"/>
    <w:rsid w:val="007226CC"/>
    <w:rsid w:val="00753069"/>
    <w:rsid w:val="00753495"/>
    <w:rsid w:val="007B66DD"/>
    <w:rsid w:val="007C2B20"/>
    <w:rsid w:val="007D1418"/>
    <w:rsid w:val="007E1986"/>
    <w:rsid w:val="007E4458"/>
    <w:rsid w:val="007F0C02"/>
    <w:rsid w:val="007F3697"/>
    <w:rsid w:val="007F6755"/>
    <w:rsid w:val="0081523F"/>
    <w:rsid w:val="00826B74"/>
    <w:rsid w:val="00832727"/>
    <w:rsid w:val="00835CFB"/>
    <w:rsid w:val="0085113F"/>
    <w:rsid w:val="00853712"/>
    <w:rsid w:val="008625E3"/>
    <w:rsid w:val="00876D58"/>
    <w:rsid w:val="00887839"/>
    <w:rsid w:val="00892AA1"/>
    <w:rsid w:val="008A247C"/>
    <w:rsid w:val="008D12A5"/>
    <w:rsid w:val="008E18CF"/>
    <w:rsid w:val="008E3948"/>
    <w:rsid w:val="008E50D2"/>
    <w:rsid w:val="008F06FE"/>
    <w:rsid w:val="00917A3A"/>
    <w:rsid w:val="009464E3"/>
    <w:rsid w:val="00950AD0"/>
    <w:rsid w:val="00955F1D"/>
    <w:rsid w:val="009827A5"/>
    <w:rsid w:val="009C66A5"/>
    <w:rsid w:val="009D393A"/>
    <w:rsid w:val="009E2365"/>
    <w:rsid w:val="009F48F1"/>
    <w:rsid w:val="009F6F96"/>
    <w:rsid w:val="009F76EA"/>
    <w:rsid w:val="00A0060A"/>
    <w:rsid w:val="00A020A4"/>
    <w:rsid w:val="00A03B9C"/>
    <w:rsid w:val="00A20D9F"/>
    <w:rsid w:val="00A22B0B"/>
    <w:rsid w:val="00A2551B"/>
    <w:rsid w:val="00A33679"/>
    <w:rsid w:val="00A4205C"/>
    <w:rsid w:val="00A509D2"/>
    <w:rsid w:val="00A54C16"/>
    <w:rsid w:val="00A56B46"/>
    <w:rsid w:val="00A64AA3"/>
    <w:rsid w:val="00A96746"/>
    <w:rsid w:val="00AA46E5"/>
    <w:rsid w:val="00AA7CD2"/>
    <w:rsid w:val="00B012F7"/>
    <w:rsid w:val="00B04B5B"/>
    <w:rsid w:val="00B121B4"/>
    <w:rsid w:val="00B17C51"/>
    <w:rsid w:val="00B20D8B"/>
    <w:rsid w:val="00B22DBC"/>
    <w:rsid w:val="00B61DFC"/>
    <w:rsid w:val="00B61EFA"/>
    <w:rsid w:val="00B64801"/>
    <w:rsid w:val="00B660EC"/>
    <w:rsid w:val="00B720CA"/>
    <w:rsid w:val="00B77CDE"/>
    <w:rsid w:val="00B974EC"/>
    <w:rsid w:val="00BA5AD5"/>
    <w:rsid w:val="00BC180C"/>
    <w:rsid w:val="00BF6B40"/>
    <w:rsid w:val="00C03D5F"/>
    <w:rsid w:val="00C118A2"/>
    <w:rsid w:val="00C25A8B"/>
    <w:rsid w:val="00C55418"/>
    <w:rsid w:val="00C6327A"/>
    <w:rsid w:val="00C7444F"/>
    <w:rsid w:val="00C87161"/>
    <w:rsid w:val="00CB0AFD"/>
    <w:rsid w:val="00CD7F4E"/>
    <w:rsid w:val="00CE0F81"/>
    <w:rsid w:val="00CE4F56"/>
    <w:rsid w:val="00D16DC2"/>
    <w:rsid w:val="00D314D8"/>
    <w:rsid w:val="00D354DF"/>
    <w:rsid w:val="00D40C82"/>
    <w:rsid w:val="00D428C9"/>
    <w:rsid w:val="00D452F8"/>
    <w:rsid w:val="00D67232"/>
    <w:rsid w:val="00D67994"/>
    <w:rsid w:val="00D950F7"/>
    <w:rsid w:val="00DB3644"/>
    <w:rsid w:val="00DB394E"/>
    <w:rsid w:val="00DC1A68"/>
    <w:rsid w:val="00DF1595"/>
    <w:rsid w:val="00E02557"/>
    <w:rsid w:val="00E212E3"/>
    <w:rsid w:val="00E33707"/>
    <w:rsid w:val="00E55F9C"/>
    <w:rsid w:val="00E60719"/>
    <w:rsid w:val="00E94641"/>
    <w:rsid w:val="00EA1B10"/>
    <w:rsid w:val="00EC1A54"/>
    <w:rsid w:val="00EC5715"/>
    <w:rsid w:val="00EF678C"/>
    <w:rsid w:val="00F078BF"/>
    <w:rsid w:val="00F1124D"/>
    <w:rsid w:val="00F17110"/>
    <w:rsid w:val="00F235FD"/>
    <w:rsid w:val="00F27844"/>
    <w:rsid w:val="00F61564"/>
    <w:rsid w:val="00F648BF"/>
    <w:rsid w:val="00FC39B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1EAC3-B9E1-467B-A90D-84B48B9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CITB">
    <w:name w:val="New CITB"/>
    <w:basedOn w:val="Normal"/>
    <w:qFormat/>
    <w:rsid w:val="001C0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4B"/>
  </w:style>
  <w:style w:type="paragraph" w:styleId="Footer">
    <w:name w:val="footer"/>
    <w:basedOn w:val="Normal"/>
    <w:link w:val="FooterChar"/>
    <w:uiPriority w:val="99"/>
    <w:unhideWhenUsed/>
    <w:rsid w:val="001C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4B"/>
  </w:style>
  <w:style w:type="paragraph" w:styleId="BalloonText">
    <w:name w:val="Balloon Text"/>
    <w:basedOn w:val="Normal"/>
    <w:link w:val="BalloonTextChar"/>
    <w:uiPriority w:val="99"/>
    <w:semiHidden/>
    <w:unhideWhenUsed/>
    <w:rsid w:val="001C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88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5B488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1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6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b.co.uk/cdmre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Westgate</dc:creator>
  <cp:lastModifiedBy>Rebecca Gaye</cp:lastModifiedBy>
  <cp:revision>2</cp:revision>
  <cp:lastPrinted>2015-02-27T11:44:00Z</cp:lastPrinted>
  <dcterms:created xsi:type="dcterms:W3CDTF">2015-03-02T11:43:00Z</dcterms:created>
  <dcterms:modified xsi:type="dcterms:W3CDTF">2015-03-02T11:43:00Z</dcterms:modified>
</cp:coreProperties>
</file>